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autoSpaceDE w:val="0"/>
        <w:autoSpaceDN w:val="0"/>
        <w:jc w:val="center"/>
        <w:rPr>
          <w:rFonts w:ascii="Times New Roman" w:hAnsi="Times New Roman" w:eastAsia="方正小标宋_GBK"/>
          <w:sz w:val="44"/>
          <w:szCs w:val="44"/>
        </w:rPr>
      </w:pPr>
      <w:r>
        <w:rPr>
          <w:rFonts w:hint="eastAsia" w:ascii="Times New Roman" w:hAnsi="Times New Roman" w:eastAsia="方正小标宋_GBK"/>
          <w:sz w:val="44"/>
          <w:szCs w:val="44"/>
        </w:rPr>
        <w:t>广州市白云区人民检察院工作报告</w:t>
      </w:r>
    </w:p>
    <w:p>
      <w:pPr>
        <w:overflowPunct w:val="0"/>
        <w:autoSpaceDE w:val="0"/>
        <w:autoSpaceDN w:val="0"/>
        <w:jc w:val="center"/>
        <w:rPr>
          <w:rFonts w:hint="eastAsia" w:ascii="Times New Roman" w:hAnsi="Times New Roman" w:eastAsia="仿宋_GB2312"/>
          <w:sz w:val="32"/>
          <w:szCs w:val="32"/>
        </w:rPr>
      </w:pPr>
    </w:p>
    <w:p>
      <w:pPr>
        <w:overflowPunct w:val="0"/>
        <w:autoSpaceDE w:val="0"/>
        <w:autoSpaceDN w:val="0"/>
        <w:jc w:val="center"/>
        <w:rPr>
          <w:rFonts w:ascii="Times New Roman" w:hAnsi="Times New Roman" w:eastAsia="仿宋_GB2312"/>
          <w:sz w:val="32"/>
          <w:szCs w:val="32"/>
        </w:rPr>
      </w:pPr>
      <w:r>
        <w:rPr>
          <w:rFonts w:hint="eastAsia" w:ascii="Times New Roman" w:hAnsi="Times New Roman" w:eastAsia="仿宋_GB2312"/>
          <w:sz w:val="32"/>
          <w:szCs w:val="32"/>
        </w:rPr>
        <w:t>——20</w:t>
      </w:r>
      <w:r>
        <w:rPr>
          <w:rFonts w:hint="default" w:ascii="Times New Roman" w:hAnsi="Times New Roman" w:eastAsia="仿宋_GB2312"/>
          <w:sz w:val="32"/>
          <w:szCs w:val="32"/>
          <w:lang w:val="en"/>
        </w:rPr>
        <w:t>21</w:t>
      </w:r>
      <w:r>
        <w:rPr>
          <w:rFonts w:hint="eastAsia" w:ascii="Times New Roman" w:hAnsi="Times New Roman" w:eastAsia="仿宋_GB2312"/>
          <w:sz w:val="32"/>
          <w:szCs w:val="32"/>
        </w:rPr>
        <w:t>年</w:t>
      </w:r>
      <w:r>
        <w:rPr>
          <w:rFonts w:hint="default" w:ascii="Times New Roman" w:hAnsi="Times New Roman" w:eastAsia="仿宋_GB2312"/>
          <w:sz w:val="32"/>
          <w:szCs w:val="32"/>
          <w:lang w:val="en"/>
        </w:rPr>
        <w:t>10</w:t>
      </w:r>
      <w:r>
        <w:rPr>
          <w:rFonts w:hint="eastAsia" w:ascii="Times New Roman" w:hAnsi="Times New Roman" w:eastAsia="仿宋_GB2312"/>
          <w:sz w:val="32"/>
          <w:szCs w:val="32"/>
        </w:rPr>
        <w:t>月</w:t>
      </w:r>
      <w:r>
        <w:rPr>
          <w:rFonts w:hint="default" w:ascii="Times New Roman" w:hAnsi="Times New Roman" w:eastAsia="仿宋_GB2312"/>
          <w:sz w:val="32"/>
          <w:szCs w:val="32"/>
          <w:lang w:val="en"/>
        </w:rPr>
        <w:t>27</w:t>
      </w:r>
      <w:r>
        <w:rPr>
          <w:rFonts w:hint="eastAsia" w:ascii="Times New Roman" w:hAnsi="Times New Roman" w:eastAsia="仿宋_GB2312"/>
          <w:sz w:val="32"/>
          <w:szCs w:val="32"/>
        </w:rPr>
        <w:t>日在广州市白云区第十七届</w:t>
      </w:r>
    </w:p>
    <w:p>
      <w:pPr>
        <w:overflowPunct w:val="0"/>
        <w:autoSpaceDE w:val="0"/>
        <w:autoSpaceDN w:val="0"/>
        <w:jc w:val="center"/>
        <w:rPr>
          <w:rFonts w:hint="eastAsia" w:ascii="Times New Roman" w:hAnsi="Times New Roman" w:eastAsia="仿宋_GB2312"/>
          <w:sz w:val="32"/>
          <w:szCs w:val="32"/>
        </w:rPr>
      </w:pPr>
      <w:r>
        <w:rPr>
          <w:rFonts w:hint="eastAsia" w:ascii="Times New Roman" w:hAnsi="Times New Roman" w:eastAsia="仿宋_GB2312"/>
          <w:sz w:val="32"/>
          <w:szCs w:val="32"/>
        </w:rPr>
        <w:t>人民代表大会第</w:t>
      </w:r>
      <w:r>
        <w:rPr>
          <w:rFonts w:hint="eastAsia" w:ascii="Times New Roman" w:hAnsi="Times New Roman" w:eastAsia="仿宋_GB2312"/>
          <w:sz w:val="32"/>
          <w:szCs w:val="32"/>
          <w:lang w:eastAsia="zh-CN"/>
        </w:rPr>
        <w:t>一</w:t>
      </w:r>
      <w:r>
        <w:rPr>
          <w:rFonts w:hint="eastAsia" w:ascii="Times New Roman" w:hAnsi="Times New Roman" w:eastAsia="仿宋_GB2312"/>
          <w:sz w:val="32"/>
          <w:szCs w:val="32"/>
        </w:rPr>
        <w:t>次会议上</w:t>
      </w:r>
    </w:p>
    <w:p>
      <w:pPr>
        <w:overflowPunct w:val="0"/>
        <w:autoSpaceDE w:val="0"/>
        <w:autoSpaceDN w:val="0"/>
        <w:jc w:val="center"/>
        <w:rPr>
          <w:rFonts w:hint="eastAsia" w:ascii="Times New Roman" w:hAnsi="Times New Roman" w:eastAsia="仿宋_GB2312"/>
          <w:sz w:val="32"/>
          <w:szCs w:val="32"/>
        </w:rPr>
      </w:pPr>
      <w:bookmarkStart w:id="0" w:name="_GoBack"/>
      <w:bookmarkEnd w:id="0"/>
    </w:p>
    <w:p>
      <w:pPr>
        <w:jc w:val="center"/>
        <w:rPr>
          <w:rFonts w:ascii="Times New Roman" w:hAnsi="Times New Roman" w:eastAsia="黑体" w:cs="Times New Roman"/>
          <w:sz w:val="32"/>
          <w:szCs w:val="32"/>
        </w:rPr>
      </w:pPr>
      <w:r>
        <w:rPr>
          <w:rFonts w:ascii="Times New Roman" w:hAnsi="Times New Roman" w:eastAsia="楷体_GB2312" w:cs="Times New Roman"/>
          <w:sz w:val="32"/>
          <w:szCs w:val="32"/>
        </w:rPr>
        <w:t>广州市白云区人民检察院</w:t>
      </w:r>
      <w:r>
        <w:rPr>
          <w:rFonts w:hint="eastAsia" w:ascii="Times New Roman" w:hAnsi="Times New Roman" w:eastAsia="楷体_GB2312" w:cs="Times New Roman"/>
          <w:sz w:val="32"/>
          <w:szCs w:val="32"/>
        </w:rPr>
        <w:t>代理</w:t>
      </w:r>
      <w:r>
        <w:rPr>
          <w:rFonts w:ascii="Times New Roman" w:hAnsi="Times New Roman" w:eastAsia="楷体_GB2312" w:cs="Times New Roman"/>
          <w:sz w:val="32"/>
          <w:szCs w:val="32"/>
        </w:rPr>
        <w:t xml:space="preserve">检察长 </w:t>
      </w:r>
      <w:r>
        <w:rPr>
          <w:rFonts w:hint="eastAsia" w:ascii="Times New Roman" w:hAnsi="Times New Roman" w:eastAsia="楷体_GB2312" w:cs="Times New Roman"/>
          <w:sz w:val="32"/>
          <w:szCs w:val="32"/>
        </w:rPr>
        <w:t xml:space="preserve"> </w:t>
      </w:r>
      <w:r>
        <w:rPr>
          <w:rFonts w:ascii="Times New Roman" w:hAnsi="Times New Roman" w:eastAsia="楷体_GB2312" w:cs="Times New Roman"/>
          <w:sz w:val="32"/>
          <w:szCs w:val="32"/>
        </w:rPr>
        <w:t xml:space="preserve"> </w:t>
      </w:r>
      <w:r>
        <w:rPr>
          <w:rFonts w:hint="eastAsia" w:ascii="Times New Roman" w:hAnsi="Times New Roman" w:eastAsia="黑体" w:cs="Times New Roman"/>
          <w:sz w:val="32"/>
          <w:szCs w:val="32"/>
        </w:rPr>
        <w:t>庞良程</w:t>
      </w:r>
    </w:p>
    <w:p>
      <w:pPr>
        <w:overflowPunct w:val="0"/>
        <w:autoSpaceDE w:val="0"/>
        <w:autoSpaceDN w:val="0"/>
        <w:rPr>
          <w:rFonts w:ascii="Times New Roman" w:hAnsi="Times New Roman" w:eastAsia="仿宋_GB2312"/>
          <w:sz w:val="32"/>
          <w:szCs w:val="32"/>
        </w:rPr>
      </w:pPr>
    </w:p>
    <w:p>
      <w:pPr>
        <w:overflowPunct w:val="0"/>
        <w:autoSpaceDE w:val="0"/>
        <w:autoSpaceDN w:val="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各位代表：</w:t>
      </w:r>
    </w:p>
    <w:p>
      <w:pPr>
        <w:overflowPunct w:val="0"/>
        <w:autoSpaceDE w:val="0"/>
        <w:autoSpaceDN w:val="0"/>
        <w:ind w:firstLine="608" w:firstLineChars="200"/>
        <w:rPr>
          <w:rFonts w:ascii="Times New Roman" w:hAnsi="Times New Roman" w:eastAsia="仿宋_GB2312"/>
          <w:sz w:val="32"/>
          <w:szCs w:val="32"/>
        </w:rPr>
      </w:pPr>
      <w:r>
        <w:rPr>
          <w:rFonts w:hint="eastAsia" w:ascii="Times New Roman" w:hAnsi="Times New Roman" w:eastAsia="仿宋_GB2312"/>
          <w:sz w:val="32"/>
          <w:szCs w:val="32"/>
        </w:rPr>
        <w:t>我代表区人民检察院向大会报告工作，请予审议，并请列席会议的同志提出意见。</w:t>
      </w:r>
    </w:p>
    <w:p>
      <w:pPr>
        <w:overflowPunct w:val="0"/>
        <w:autoSpaceDE w:val="0"/>
        <w:autoSpaceDN w:val="0"/>
        <w:jc w:val="center"/>
        <w:rPr>
          <w:rStyle w:val="8"/>
          <w:rFonts w:ascii="Times New Roman" w:hAnsi="Times New Roman" w:eastAsia="仿宋_GB2312"/>
          <w:b w:val="0"/>
          <w:sz w:val="32"/>
          <w:szCs w:val="32"/>
        </w:rPr>
      </w:pPr>
      <w:r>
        <w:rPr>
          <w:rStyle w:val="8"/>
          <w:rFonts w:ascii="华文中宋" w:hAnsi="华文中宋" w:eastAsia="华文中宋" w:cs="&amp;quot"/>
          <w:sz w:val="32"/>
        </w:rPr>
        <w:t>过去五年工作的回顾</w:t>
      </w:r>
    </w:p>
    <w:p>
      <w:pPr>
        <w:pStyle w:val="5"/>
        <w:widowControl/>
        <w:pBdr>
          <w:top w:val="none" w:color="333333" w:sz="0" w:space="0"/>
          <w:left w:val="none" w:color="333333" w:sz="0" w:space="0"/>
          <w:bottom w:val="none" w:color="333333" w:sz="0" w:space="0"/>
          <w:right w:val="none" w:color="333333" w:sz="0" w:space="0"/>
        </w:pBdr>
        <w:spacing w:beforeAutospacing="0" w:afterAutospacing="0"/>
        <w:ind w:firstLine="608" w:firstLineChars="200"/>
        <w:textAlignment w:val="baseline"/>
        <w:rPr>
          <w:rFonts w:ascii="Times New Roman" w:hAnsi="Times New Roman" w:eastAsia="仿宋_GB2312"/>
          <w:sz w:val="32"/>
          <w:szCs w:val="32"/>
        </w:rPr>
      </w:pPr>
      <w:r>
        <w:rPr>
          <w:rFonts w:ascii="Times New Roman" w:hAnsi="Times New Roman" w:eastAsia="仿宋_GB2312"/>
          <w:sz w:val="32"/>
          <w:szCs w:val="32"/>
        </w:rPr>
        <w:t>区十六届人大一次会议以来，</w:t>
      </w:r>
      <w:r>
        <w:rPr>
          <w:rFonts w:hint="eastAsia" w:ascii="Times New Roman" w:hAnsi="Times New Roman" w:eastAsia="仿宋_GB2312"/>
          <w:sz w:val="32"/>
          <w:szCs w:val="32"/>
        </w:rPr>
        <w:t>我</w:t>
      </w:r>
      <w:r>
        <w:rPr>
          <w:rFonts w:ascii="Times New Roman" w:hAnsi="Times New Roman" w:eastAsia="仿宋_GB2312"/>
          <w:sz w:val="32"/>
          <w:szCs w:val="32"/>
        </w:rPr>
        <w:t>院坚持以习近平新时代中国特色社会主义思想为指导，深入贯彻习近平法治思想，在</w:t>
      </w:r>
      <w:r>
        <w:rPr>
          <w:rFonts w:hint="eastAsia" w:ascii="Times New Roman" w:hAnsi="Times New Roman" w:eastAsia="仿宋_GB2312"/>
          <w:sz w:val="32"/>
          <w:szCs w:val="32"/>
        </w:rPr>
        <w:t>党</w:t>
      </w:r>
      <w:r>
        <w:rPr>
          <w:rFonts w:ascii="Times New Roman" w:hAnsi="Times New Roman" w:eastAsia="仿宋_GB2312"/>
          <w:sz w:val="32"/>
          <w:szCs w:val="32"/>
        </w:rPr>
        <w:t>委和上级检察机关领导</w:t>
      </w:r>
      <w:r>
        <w:rPr>
          <w:rFonts w:hint="eastAsia" w:ascii="Times New Roman" w:hAnsi="Times New Roman" w:eastAsia="仿宋_GB2312"/>
          <w:sz w:val="32"/>
          <w:szCs w:val="32"/>
        </w:rPr>
        <w:t>、</w:t>
      </w:r>
      <w:r>
        <w:rPr>
          <w:rFonts w:ascii="Times New Roman" w:hAnsi="Times New Roman" w:eastAsia="仿宋_GB2312"/>
          <w:sz w:val="32"/>
          <w:szCs w:val="32"/>
        </w:rPr>
        <w:t>人大监督</w:t>
      </w:r>
      <w:r>
        <w:rPr>
          <w:rFonts w:hint="eastAsia" w:ascii="Times New Roman" w:hAnsi="Times New Roman" w:eastAsia="仿宋_GB2312"/>
          <w:sz w:val="32"/>
          <w:szCs w:val="32"/>
        </w:rPr>
        <w:t>和</w:t>
      </w:r>
      <w:r>
        <w:rPr>
          <w:rFonts w:ascii="Times New Roman" w:hAnsi="Times New Roman" w:eastAsia="仿宋_GB2312"/>
          <w:sz w:val="32"/>
          <w:szCs w:val="32"/>
        </w:rPr>
        <w:t>政府、政协及社会各界关心支持下，</w:t>
      </w:r>
      <w:r>
        <w:rPr>
          <w:rFonts w:hint="eastAsia" w:ascii="Times New Roman" w:hAnsi="Times New Roman" w:eastAsia="仿宋_GB2312"/>
          <w:sz w:val="32"/>
          <w:szCs w:val="32"/>
        </w:rPr>
        <w:t>全面落实区委部署要求，紧紧围绕区委“1358”发展思路和区各项中心任务，认真贯彻区十六届人大历次会议精神，忠诚履职、奋勇争先，充分发挥职能作用服务保障白云经济社会高质量发展和社会大局稳定，各项检察工作取得新进展</w:t>
      </w:r>
      <w:r>
        <w:rPr>
          <w:rFonts w:ascii="Times New Roman" w:hAnsi="Times New Roman" w:eastAsia="仿宋_GB2312"/>
          <w:sz w:val="32"/>
          <w:szCs w:val="32"/>
        </w:rPr>
        <w:t>。</w:t>
      </w:r>
    </w:p>
    <w:p>
      <w:pPr>
        <w:pStyle w:val="5"/>
        <w:widowControl/>
        <w:pBdr>
          <w:top w:val="none" w:color="333333" w:sz="0" w:space="0"/>
          <w:left w:val="none" w:color="333333" w:sz="0" w:space="0"/>
          <w:bottom w:val="none" w:color="333333" w:sz="0" w:space="0"/>
          <w:right w:val="none" w:color="333333" w:sz="0" w:space="0"/>
        </w:pBdr>
        <w:spacing w:beforeAutospacing="0" w:afterAutospacing="0"/>
        <w:ind w:firstLine="608" w:firstLineChars="200"/>
        <w:textAlignment w:val="baseline"/>
        <w:rPr>
          <w:rFonts w:ascii="Times New Roman" w:hAnsi="Times New Roman" w:eastAsia="黑体"/>
          <w:sz w:val="32"/>
          <w:szCs w:val="32"/>
        </w:rPr>
      </w:pPr>
      <w:r>
        <w:rPr>
          <w:rFonts w:ascii="Times New Roman" w:hAnsi="黑体" w:eastAsia="黑体"/>
          <w:sz w:val="32"/>
          <w:szCs w:val="32"/>
        </w:rPr>
        <w:t>一、践行新发展理念，服务保障经济社会高质量发展</w:t>
      </w:r>
    </w:p>
    <w:p>
      <w:pPr>
        <w:pStyle w:val="5"/>
        <w:widowControl/>
        <w:pBdr>
          <w:top w:val="none" w:color="333333" w:sz="0" w:space="0"/>
          <w:left w:val="none" w:color="333333" w:sz="0" w:space="0"/>
          <w:bottom w:val="none" w:color="333333" w:sz="0" w:space="0"/>
          <w:right w:val="none" w:color="333333" w:sz="0" w:space="0"/>
        </w:pBdr>
        <w:spacing w:beforeAutospacing="0" w:afterAutospacing="0"/>
        <w:ind w:firstLine="608" w:firstLineChars="200"/>
        <w:textAlignment w:val="baseline"/>
        <w:rPr>
          <w:rFonts w:ascii="Times New Roman" w:hAnsi="Times New Roman" w:eastAsia="仿宋_GB2312"/>
          <w:sz w:val="32"/>
          <w:szCs w:val="32"/>
        </w:rPr>
      </w:pPr>
      <w:r>
        <w:rPr>
          <w:rFonts w:ascii="Times New Roman" w:hAnsi="Times New Roman" w:eastAsia="楷体_GB2312"/>
          <w:sz w:val="32"/>
          <w:szCs w:val="32"/>
        </w:rPr>
        <w:t>着力服务疫情防控和</w:t>
      </w:r>
      <w:r>
        <w:rPr>
          <w:rFonts w:hint="eastAsia" w:ascii="Times New Roman" w:hAnsi="Times New Roman" w:eastAsia="楷体_GB2312"/>
          <w:sz w:val="32"/>
          <w:szCs w:val="32"/>
        </w:rPr>
        <w:t>“</w:t>
      </w:r>
      <w:r>
        <w:rPr>
          <w:rFonts w:ascii="Times New Roman" w:hAnsi="Times New Roman" w:eastAsia="楷体_GB2312"/>
          <w:sz w:val="32"/>
          <w:szCs w:val="32"/>
        </w:rPr>
        <w:t>六稳</w:t>
      </w:r>
      <w:r>
        <w:rPr>
          <w:rFonts w:hint="eastAsia" w:ascii="Times New Roman" w:hAnsi="Times New Roman" w:eastAsia="楷体_GB2312"/>
          <w:sz w:val="32"/>
          <w:szCs w:val="32"/>
        </w:rPr>
        <w:t>”“</w:t>
      </w:r>
      <w:r>
        <w:rPr>
          <w:rFonts w:ascii="Times New Roman" w:hAnsi="Times New Roman" w:eastAsia="楷体_GB2312"/>
          <w:sz w:val="32"/>
          <w:szCs w:val="32"/>
        </w:rPr>
        <w:t>六保</w:t>
      </w:r>
      <w:r>
        <w:rPr>
          <w:rFonts w:hint="eastAsia" w:ascii="Times New Roman" w:hAnsi="Times New Roman" w:eastAsia="楷体_GB2312"/>
          <w:sz w:val="32"/>
          <w:szCs w:val="32"/>
        </w:rPr>
        <w:t>”</w:t>
      </w:r>
      <w:r>
        <w:rPr>
          <w:rFonts w:ascii="Times New Roman" w:hAnsi="Times New Roman" w:eastAsia="楷体_GB2312"/>
          <w:sz w:val="32"/>
          <w:szCs w:val="32"/>
        </w:rPr>
        <w:t>。</w:t>
      </w:r>
      <w:r>
        <w:rPr>
          <w:rFonts w:ascii="Times New Roman" w:hAnsi="Times New Roman" w:eastAsia="仿宋_GB2312"/>
          <w:sz w:val="32"/>
          <w:szCs w:val="32"/>
        </w:rPr>
        <w:t>依法严惩涉疫犯罪，批捕诈骗、制假售假、妨害公务等涉疫犯罪案件96件152人</w:t>
      </w:r>
      <w:r>
        <w:rPr>
          <w:rFonts w:hint="eastAsia" w:ascii="Times New Roman" w:hAnsi="Times New Roman" w:eastAsia="仿宋_GB2312"/>
          <w:sz w:val="32"/>
          <w:szCs w:val="32"/>
        </w:rPr>
        <w:t>、</w:t>
      </w:r>
      <w:r>
        <w:rPr>
          <w:rFonts w:ascii="Times New Roman" w:hAnsi="Times New Roman" w:eastAsia="仿宋_GB2312"/>
          <w:sz w:val="32"/>
          <w:szCs w:val="32"/>
        </w:rPr>
        <w:t>起诉63件68人</w:t>
      </w:r>
      <w:r>
        <w:rPr>
          <w:rFonts w:hint="eastAsia" w:ascii="Times New Roman" w:hAnsi="Times New Roman" w:eastAsia="仿宋_GB2312"/>
          <w:sz w:val="32"/>
          <w:szCs w:val="32"/>
        </w:rPr>
        <w:t>。</w:t>
      </w:r>
      <w:r>
        <w:rPr>
          <w:rFonts w:ascii="Times New Roman" w:hAnsi="Times New Roman" w:eastAsia="仿宋_GB2312"/>
          <w:sz w:val="32"/>
          <w:szCs w:val="32"/>
        </w:rPr>
        <w:t>办理的广州市首例宣判涉疫案件，入选广东首批妨害新冠肺炎疫情防控刑事案例。积极参与社会防疫，入驻看守所战疫257天88人次，调派1338人次参与防控关口志愿服务</w:t>
      </w:r>
      <w:r>
        <w:rPr>
          <w:rFonts w:hint="eastAsia" w:ascii="Times New Roman" w:hAnsi="Times New Roman" w:eastAsia="仿宋_GB2312"/>
          <w:sz w:val="32"/>
          <w:szCs w:val="32"/>
        </w:rPr>
        <w:t>，</w:t>
      </w:r>
      <w:r>
        <w:rPr>
          <w:rFonts w:ascii="Times New Roman" w:hAnsi="Times New Roman" w:eastAsia="仿宋_GB2312"/>
          <w:sz w:val="32"/>
          <w:szCs w:val="32"/>
        </w:rPr>
        <w:t>组织15人次干警长时间支援境外输入疫情防控工作。精准服务</w:t>
      </w:r>
      <w:r>
        <w:rPr>
          <w:rFonts w:hint="eastAsia" w:ascii="Times New Roman" w:hAnsi="Times New Roman" w:eastAsia="仿宋_GB2312"/>
          <w:sz w:val="32"/>
          <w:szCs w:val="32"/>
        </w:rPr>
        <w:t>“</w:t>
      </w:r>
      <w:r>
        <w:rPr>
          <w:rFonts w:ascii="Times New Roman" w:hAnsi="Times New Roman" w:eastAsia="仿宋_GB2312"/>
          <w:sz w:val="32"/>
          <w:szCs w:val="32"/>
        </w:rPr>
        <w:t>六稳</w:t>
      </w:r>
      <w:r>
        <w:rPr>
          <w:rFonts w:hint="eastAsia" w:ascii="Times New Roman" w:hAnsi="Times New Roman" w:eastAsia="仿宋_GB2312"/>
          <w:sz w:val="32"/>
          <w:szCs w:val="32"/>
        </w:rPr>
        <w:t>”“</w:t>
      </w:r>
      <w:r>
        <w:rPr>
          <w:rFonts w:ascii="Times New Roman" w:hAnsi="Times New Roman" w:eastAsia="仿宋_GB2312"/>
          <w:sz w:val="32"/>
          <w:szCs w:val="32"/>
        </w:rPr>
        <w:t>六保</w:t>
      </w:r>
      <w:r>
        <w:rPr>
          <w:rFonts w:hint="eastAsia" w:ascii="Times New Roman" w:hAnsi="Times New Roman" w:eastAsia="仿宋_GB2312"/>
          <w:sz w:val="32"/>
          <w:szCs w:val="32"/>
        </w:rPr>
        <w:t>”</w:t>
      </w:r>
      <w:r>
        <w:rPr>
          <w:rFonts w:ascii="Times New Roman" w:hAnsi="Times New Roman" w:eastAsia="仿宋_GB2312"/>
          <w:sz w:val="32"/>
          <w:szCs w:val="32"/>
        </w:rPr>
        <w:t>，及时出台保障复产复工实施方案，前往民科园开展实地调研，列出20条法律风险点清单，引导企业防范法律风险。</w:t>
      </w:r>
    </w:p>
    <w:p>
      <w:pPr>
        <w:pStyle w:val="5"/>
        <w:widowControl/>
        <w:pBdr>
          <w:top w:val="none" w:color="333333" w:sz="0" w:space="0"/>
          <w:left w:val="none" w:color="333333" w:sz="0" w:space="0"/>
          <w:bottom w:val="none" w:color="333333" w:sz="0" w:space="0"/>
          <w:right w:val="none" w:color="333333" w:sz="0" w:space="0"/>
        </w:pBdr>
        <w:spacing w:beforeAutospacing="0" w:afterAutospacing="0"/>
        <w:ind w:firstLine="608" w:firstLineChars="200"/>
        <w:textAlignment w:val="baseline"/>
        <w:rPr>
          <w:rFonts w:ascii="Times New Roman" w:hAnsi="Times New Roman" w:eastAsia="仿宋_GB2312"/>
          <w:sz w:val="32"/>
          <w:szCs w:val="32"/>
        </w:rPr>
      </w:pPr>
      <w:r>
        <w:rPr>
          <w:rFonts w:ascii="Times New Roman" w:hAnsi="Times New Roman" w:eastAsia="楷体_GB2312"/>
          <w:sz w:val="32"/>
          <w:szCs w:val="32"/>
        </w:rPr>
        <w:t>切实优化法治化营商环境。</w:t>
      </w:r>
      <w:r>
        <w:rPr>
          <w:rFonts w:ascii="Times New Roman" w:hAnsi="Times New Roman" w:eastAsia="仿宋_GB2312"/>
          <w:sz w:val="32"/>
          <w:szCs w:val="32"/>
        </w:rPr>
        <w:t>保障创新驱动发展，加大对知识产权的司法保护力度，批捕侵犯商标权、专利权、著作权等知识产权犯</w:t>
      </w:r>
      <w:r>
        <w:rPr>
          <w:rFonts w:ascii="Times New Roman" w:hAnsi="Times New Roman" w:eastAsia="仿宋_GB2312"/>
          <w:color w:val="000000" w:themeColor="text1"/>
          <w:sz w:val="32"/>
          <w:szCs w:val="32"/>
        </w:rPr>
        <w:t>罪案件1018件1440人</w:t>
      </w:r>
      <w:r>
        <w:rPr>
          <w:rFonts w:hint="eastAsia" w:ascii="Times New Roman" w:hAnsi="Times New Roman" w:eastAsia="仿宋_GB2312"/>
          <w:color w:val="000000" w:themeColor="text1"/>
          <w:sz w:val="32"/>
          <w:szCs w:val="32"/>
        </w:rPr>
        <w:t>、</w:t>
      </w:r>
      <w:r>
        <w:rPr>
          <w:rFonts w:ascii="Times New Roman" w:hAnsi="Times New Roman" w:eastAsia="仿宋_GB2312"/>
          <w:color w:val="000000" w:themeColor="text1"/>
          <w:sz w:val="32"/>
          <w:szCs w:val="32"/>
        </w:rPr>
        <w:t>起诉1309件2110人</w:t>
      </w:r>
      <w:r>
        <w:rPr>
          <w:rFonts w:hint="eastAsia" w:ascii="Times New Roman" w:hAnsi="Times New Roman" w:eastAsia="仿宋_GB2312"/>
          <w:sz w:val="32"/>
          <w:szCs w:val="32"/>
        </w:rPr>
        <w:t>。</w:t>
      </w:r>
      <w:r>
        <w:rPr>
          <w:rFonts w:ascii="Times New Roman" w:hAnsi="Times New Roman" w:eastAsia="仿宋_GB2312"/>
          <w:sz w:val="32"/>
          <w:szCs w:val="32"/>
        </w:rPr>
        <w:t>办理的斐某公司申请监督案获评省检加强知识产权司法保护十大典型案例，2件案件被中国外商投资企业协会评为年度十佳案例。规范公司治理，引导市场主体诚实守信，批捕妨害公司、企业管理秩序犯罪案件</w:t>
      </w:r>
      <w:r>
        <w:rPr>
          <w:rFonts w:hint="eastAsia" w:ascii="Times New Roman" w:hAnsi="Times New Roman" w:eastAsia="仿宋_GB2312"/>
          <w:sz w:val="32"/>
          <w:szCs w:val="32"/>
        </w:rPr>
        <w:t>44</w:t>
      </w:r>
      <w:r>
        <w:rPr>
          <w:rFonts w:ascii="Times New Roman" w:hAnsi="Times New Roman" w:eastAsia="仿宋_GB2312"/>
          <w:sz w:val="32"/>
          <w:szCs w:val="32"/>
        </w:rPr>
        <w:t>件</w:t>
      </w:r>
      <w:r>
        <w:rPr>
          <w:rFonts w:hint="eastAsia" w:ascii="Times New Roman" w:hAnsi="Times New Roman" w:eastAsia="仿宋_GB2312"/>
          <w:sz w:val="32"/>
          <w:szCs w:val="32"/>
        </w:rPr>
        <w:t>97</w:t>
      </w:r>
      <w:r>
        <w:rPr>
          <w:rFonts w:ascii="Times New Roman" w:hAnsi="Times New Roman" w:eastAsia="仿宋_GB2312"/>
          <w:sz w:val="32"/>
          <w:szCs w:val="32"/>
        </w:rPr>
        <w:t>人</w:t>
      </w:r>
      <w:r>
        <w:rPr>
          <w:rFonts w:hint="eastAsia" w:ascii="Times New Roman" w:hAnsi="Times New Roman" w:eastAsia="仿宋_GB2312"/>
          <w:sz w:val="32"/>
          <w:szCs w:val="32"/>
        </w:rPr>
        <w:t>、</w:t>
      </w:r>
      <w:r>
        <w:rPr>
          <w:rFonts w:ascii="Times New Roman" w:hAnsi="Times New Roman" w:eastAsia="仿宋_GB2312"/>
          <w:sz w:val="32"/>
          <w:szCs w:val="32"/>
        </w:rPr>
        <w:t>起诉</w:t>
      </w:r>
      <w:r>
        <w:rPr>
          <w:rFonts w:hint="eastAsia" w:ascii="Times New Roman" w:hAnsi="Times New Roman" w:eastAsia="仿宋_GB2312"/>
          <w:sz w:val="32"/>
          <w:szCs w:val="32"/>
        </w:rPr>
        <w:t>59</w:t>
      </w:r>
      <w:r>
        <w:rPr>
          <w:rFonts w:ascii="Times New Roman" w:hAnsi="Times New Roman" w:eastAsia="仿宋_GB2312"/>
          <w:sz w:val="32"/>
          <w:szCs w:val="32"/>
        </w:rPr>
        <w:t>件</w:t>
      </w:r>
      <w:r>
        <w:rPr>
          <w:rFonts w:hint="eastAsia" w:ascii="Times New Roman" w:hAnsi="Times New Roman" w:eastAsia="仿宋_GB2312"/>
          <w:sz w:val="32"/>
          <w:szCs w:val="32"/>
        </w:rPr>
        <w:t>139</w:t>
      </w:r>
      <w:r>
        <w:rPr>
          <w:rFonts w:ascii="Times New Roman" w:hAnsi="Times New Roman" w:eastAsia="仿宋_GB2312"/>
          <w:sz w:val="32"/>
          <w:szCs w:val="32"/>
        </w:rPr>
        <w:t>人，批捕扰乱市场秩序犯罪案件</w:t>
      </w:r>
      <w:r>
        <w:rPr>
          <w:rFonts w:hint="eastAsia" w:ascii="Times New Roman" w:hAnsi="Times New Roman" w:eastAsia="仿宋_GB2312"/>
          <w:sz w:val="32"/>
          <w:szCs w:val="32"/>
        </w:rPr>
        <w:t>1504</w:t>
      </w:r>
      <w:r>
        <w:rPr>
          <w:rFonts w:ascii="Times New Roman" w:hAnsi="Times New Roman" w:eastAsia="仿宋_GB2312"/>
          <w:sz w:val="32"/>
          <w:szCs w:val="32"/>
        </w:rPr>
        <w:t>件</w:t>
      </w:r>
      <w:r>
        <w:rPr>
          <w:rFonts w:hint="eastAsia" w:ascii="Times New Roman" w:hAnsi="Times New Roman" w:eastAsia="仿宋_GB2312"/>
          <w:sz w:val="32"/>
          <w:szCs w:val="32"/>
        </w:rPr>
        <w:t>2261</w:t>
      </w:r>
      <w:r>
        <w:rPr>
          <w:rFonts w:ascii="Times New Roman" w:hAnsi="Times New Roman" w:eastAsia="仿宋_GB2312"/>
          <w:sz w:val="32"/>
          <w:szCs w:val="32"/>
        </w:rPr>
        <w:t>人</w:t>
      </w:r>
      <w:r>
        <w:rPr>
          <w:rFonts w:hint="eastAsia" w:ascii="Times New Roman" w:hAnsi="Times New Roman" w:eastAsia="仿宋_GB2312"/>
          <w:sz w:val="32"/>
          <w:szCs w:val="32"/>
        </w:rPr>
        <w:t>、</w:t>
      </w:r>
      <w:r>
        <w:rPr>
          <w:rFonts w:ascii="Times New Roman" w:hAnsi="Times New Roman" w:eastAsia="仿宋_GB2312"/>
          <w:sz w:val="32"/>
          <w:szCs w:val="32"/>
        </w:rPr>
        <w:t>起诉</w:t>
      </w:r>
      <w:r>
        <w:rPr>
          <w:rFonts w:hint="eastAsia" w:ascii="Times New Roman" w:hAnsi="Times New Roman" w:eastAsia="仿宋_GB2312"/>
          <w:sz w:val="32"/>
          <w:szCs w:val="32"/>
        </w:rPr>
        <w:t>1937</w:t>
      </w:r>
      <w:r>
        <w:rPr>
          <w:rFonts w:ascii="Times New Roman" w:hAnsi="Times New Roman" w:eastAsia="仿宋_GB2312"/>
          <w:sz w:val="32"/>
          <w:szCs w:val="32"/>
        </w:rPr>
        <w:t>件</w:t>
      </w:r>
      <w:r>
        <w:rPr>
          <w:rFonts w:hint="eastAsia" w:ascii="Times New Roman" w:hAnsi="Times New Roman" w:eastAsia="仿宋_GB2312"/>
          <w:sz w:val="32"/>
          <w:szCs w:val="32"/>
        </w:rPr>
        <w:t>3171</w:t>
      </w:r>
      <w:r>
        <w:rPr>
          <w:rFonts w:ascii="Times New Roman" w:hAnsi="Times New Roman" w:eastAsia="仿宋_GB2312"/>
          <w:sz w:val="32"/>
          <w:szCs w:val="32"/>
        </w:rPr>
        <w:t>人。护航民营经济健康发展，建立健全与工商联沟通联系机制，建立涉民营企业司法问题投诉平台，联同最高检第七检察厅在我院召开行政检察服务保障民营经济健康发展调研会，切实解决企业涉法难题。</w:t>
      </w:r>
      <w:r>
        <w:rPr>
          <w:rFonts w:hint="eastAsia" w:ascii="Times New Roman" w:hAnsi="Times New Roman" w:eastAsia="仿宋_GB2312"/>
          <w:sz w:val="32"/>
          <w:szCs w:val="32"/>
        </w:rPr>
        <w:t>落实</w:t>
      </w:r>
      <w:r>
        <w:rPr>
          <w:rFonts w:ascii="Times New Roman" w:hAnsi="Times New Roman" w:eastAsia="仿宋_GB2312"/>
          <w:sz w:val="32"/>
          <w:szCs w:val="32"/>
        </w:rPr>
        <w:t>少捕慎诉慎押</w:t>
      </w:r>
      <w:r>
        <w:rPr>
          <w:rFonts w:hint="eastAsia" w:ascii="Times New Roman" w:hAnsi="Times New Roman" w:eastAsia="仿宋_GB2312"/>
          <w:sz w:val="32"/>
          <w:szCs w:val="32"/>
        </w:rPr>
        <w:t>政策，对涉</w:t>
      </w:r>
      <w:r>
        <w:rPr>
          <w:rFonts w:ascii="Times New Roman" w:hAnsi="Times New Roman" w:eastAsia="仿宋_GB2312"/>
          <w:sz w:val="32"/>
          <w:szCs w:val="32"/>
        </w:rPr>
        <w:t>案民营企业管理人员依法不批捕7人、不起诉26人，建议法院判处缓刑6人</w:t>
      </w:r>
      <w:r>
        <w:rPr>
          <w:rFonts w:hint="eastAsia" w:ascii="Times New Roman" w:hAnsi="Times New Roman" w:eastAsia="仿宋_GB2312"/>
          <w:sz w:val="32"/>
          <w:szCs w:val="32"/>
        </w:rPr>
        <w:t>。</w:t>
      </w:r>
      <w:r>
        <w:rPr>
          <w:rFonts w:ascii="Times New Roman" w:hAnsi="Times New Roman" w:eastAsia="仿宋_GB2312"/>
          <w:sz w:val="32"/>
          <w:szCs w:val="32"/>
        </w:rPr>
        <w:t>办理的聚某商贸公司、卢某某高利转贷案入选全省检察机关服务保障民营经济发展典型案例。</w:t>
      </w:r>
    </w:p>
    <w:p>
      <w:pPr>
        <w:pStyle w:val="5"/>
        <w:widowControl/>
        <w:pBdr>
          <w:top w:val="none" w:color="333333" w:sz="0" w:space="0"/>
          <w:left w:val="none" w:color="333333" w:sz="0" w:space="0"/>
          <w:bottom w:val="none" w:color="333333" w:sz="0" w:space="0"/>
          <w:right w:val="none" w:color="333333" w:sz="0" w:space="0"/>
        </w:pBdr>
        <w:spacing w:beforeAutospacing="0" w:afterAutospacing="0"/>
        <w:ind w:firstLine="608" w:firstLineChars="200"/>
        <w:textAlignment w:val="baseline"/>
        <w:rPr>
          <w:rFonts w:ascii="Times New Roman" w:hAnsi="Times New Roman" w:eastAsia="仿宋_GB2312"/>
          <w:sz w:val="32"/>
          <w:szCs w:val="32"/>
        </w:rPr>
      </w:pPr>
      <w:r>
        <w:rPr>
          <w:rFonts w:ascii="Times New Roman" w:hAnsi="Times New Roman" w:eastAsia="楷体_GB2312"/>
          <w:sz w:val="32"/>
          <w:szCs w:val="32"/>
        </w:rPr>
        <w:t>有效防范化解金融风险。</w:t>
      </w:r>
      <w:r>
        <w:rPr>
          <w:rFonts w:ascii="Times New Roman" w:hAnsi="Times New Roman" w:eastAsia="仿宋_GB2312"/>
          <w:sz w:val="32"/>
          <w:szCs w:val="32"/>
        </w:rPr>
        <w:t>深化打击非法集资犯罪专项行动，批捕非法吸收公众存款、集资诈骗、网络传销等涉众型经济犯罪案件</w:t>
      </w:r>
      <w:r>
        <w:rPr>
          <w:rFonts w:ascii="Times New Roman" w:hAnsi="Times New Roman" w:eastAsia="仿宋_GB2312"/>
          <w:color w:val="000000" w:themeColor="text1"/>
          <w:sz w:val="32"/>
          <w:szCs w:val="32"/>
        </w:rPr>
        <w:t>45件77人</w:t>
      </w:r>
      <w:r>
        <w:rPr>
          <w:rFonts w:hint="eastAsia" w:ascii="Times New Roman" w:hAnsi="Times New Roman" w:eastAsia="仿宋_GB2312"/>
          <w:color w:val="000000" w:themeColor="text1"/>
          <w:sz w:val="32"/>
          <w:szCs w:val="32"/>
        </w:rPr>
        <w:t>、</w:t>
      </w:r>
      <w:r>
        <w:rPr>
          <w:rFonts w:ascii="Times New Roman" w:hAnsi="Times New Roman" w:eastAsia="仿宋_GB2312"/>
          <w:color w:val="000000" w:themeColor="text1"/>
          <w:sz w:val="32"/>
          <w:szCs w:val="32"/>
        </w:rPr>
        <w:t>起诉65件98人</w:t>
      </w:r>
      <w:r>
        <w:rPr>
          <w:rFonts w:ascii="Times New Roman" w:hAnsi="Times New Roman" w:eastAsia="仿宋_GB2312"/>
          <w:sz w:val="32"/>
          <w:szCs w:val="32"/>
        </w:rPr>
        <w:t>，办理</w:t>
      </w:r>
      <w:r>
        <w:rPr>
          <w:rFonts w:hint="eastAsia" w:ascii="Times New Roman" w:hAnsi="Times New Roman" w:eastAsia="仿宋_GB2312"/>
          <w:sz w:val="32"/>
          <w:szCs w:val="32"/>
        </w:rPr>
        <w:t>“</w:t>
      </w:r>
      <w:r>
        <w:rPr>
          <w:rFonts w:ascii="Times New Roman" w:hAnsi="Times New Roman" w:eastAsia="仿宋_GB2312"/>
          <w:sz w:val="32"/>
          <w:szCs w:val="32"/>
        </w:rPr>
        <w:t>云联惠</w:t>
      </w:r>
      <w:r>
        <w:rPr>
          <w:rFonts w:hint="eastAsia" w:ascii="Times New Roman" w:hAnsi="Times New Roman" w:eastAsia="仿宋_GB2312"/>
          <w:sz w:val="32"/>
          <w:szCs w:val="32"/>
        </w:rPr>
        <w:t>”“</w:t>
      </w:r>
      <w:r>
        <w:rPr>
          <w:rFonts w:ascii="Times New Roman" w:hAnsi="Times New Roman" w:eastAsia="仿宋_GB2312"/>
          <w:sz w:val="32"/>
          <w:szCs w:val="32"/>
        </w:rPr>
        <w:t>盛融在线</w:t>
      </w:r>
      <w:r>
        <w:rPr>
          <w:rFonts w:hint="eastAsia" w:ascii="Times New Roman" w:hAnsi="Times New Roman" w:eastAsia="仿宋_GB2312"/>
          <w:sz w:val="32"/>
          <w:szCs w:val="32"/>
        </w:rPr>
        <w:t>”</w:t>
      </w:r>
      <w:r>
        <w:rPr>
          <w:rFonts w:ascii="Times New Roman" w:hAnsi="Times New Roman" w:eastAsia="仿宋_GB2312"/>
          <w:sz w:val="32"/>
          <w:szCs w:val="32"/>
        </w:rPr>
        <w:t>等重大案件。严厉打击洗钱犯罪，办理涉案金额达6600万元的王某某洗钱案。助力提高金融市场免疫力，针对办案发现的管理漏洞及行业发展乱象，发出检察建议3份，建议有关机构优化工作流程、强化管理力度，切实规范金融业态。</w:t>
      </w:r>
    </w:p>
    <w:p>
      <w:pPr>
        <w:pStyle w:val="5"/>
        <w:widowControl/>
        <w:pBdr>
          <w:top w:val="none" w:color="333333" w:sz="0" w:space="0"/>
          <w:left w:val="none" w:color="333333" w:sz="0" w:space="0"/>
          <w:bottom w:val="none" w:color="333333" w:sz="0" w:space="0"/>
          <w:right w:val="none" w:color="333333" w:sz="0" w:space="0"/>
        </w:pBdr>
        <w:spacing w:beforeAutospacing="0" w:afterAutospacing="0"/>
        <w:ind w:firstLine="608" w:firstLineChars="200"/>
        <w:textAlignment w:val="baseline"/>
        <w:rPr>
          <w:rFonts w:ascii="Times New Roman" w:hAnsi="Times New Roman" w:eastAsia="黑体"/>
          <w:sz w:val="32"/>
          <w:szCs w:val="32"/>
        </w:rPr>
      </w:pPr>
      <w:r>
        <w:rPr>
          <w:rFonts w:ascii="Times New Roman" w:hAnsi="黑体" w:eastAsia="黑体"/>
          <w:sz w:val="32"/>
          <w:szCs w:val="32"/>
        </w:rPr>
        <w:t>二、维护安全稳定，全力建设更高水平平安白云</w:t>
      </w:r>
    </w:p>
    <w:p>
      <w:pPr>
        <w:pStyle w:val="5"/>
        <w:widowControl/>
        <w:pBdr>
          <w:top w:val="none" w:color="333333" w:sz="0" w:space="0"/>
          <w:left w:val="none" w:color="333333" w:sz="0" w:space="0"/>
          <w:bottom w:val="none" w:color="333333" w:sz="0" w:space="0"/>
          <w:right w:val="none" w:color="333333" w:sz="0" w:space="0"/>
        </w:pBdr>
        <w:spacing w:beforeAutospacing="0" w:afterAutospacing="0"/>
        <w:ind w:firstLine="608" w:firstLineChars="200"/>
        <w:textAlignment w:val="baseline"/>
        <w:rPr>
          <w:rFonts w:ascii="Times New Roman" w:hAnsi="Times New Roman" w:eastAsia="仿宋_GB2312"/>
          <w:sz w:val="32"/>
          <w:szCs w:val="32"/>
        </w:rPr>
      </w:pPr>
      <w:r>
        <w:rPr>
          <w:rFonts w:ascii="Times New Roman" w:hAnsi="Times New Roman" w:eastAsia="楷体_GB2312"/>
          <w:sz w:val="32"/>
          <w:szCs w:val="32"/>
        </w:rPr>
        <w:t>坚决维护国家安全和社会大局稳定。</w:t>
      </w:r>
      <w:r>
        <w:rPr>
          <w:rFonts w:ascii="Times New Roman" w:hAnsi="Times New Roman" w:eastAsia="仿宋_GB2312"/>
          <w:sz w:val="32"/>
          <w:szCs w:val="32"/>
        </w:rPr>
        <w:t>批捕各类刑事犯罪案件12137件17221人、起诉17470件23093人，均为全市第一。其中，批捕故意杀人、抢劫、强奸、绑架等严重暴力犯罪案件2063件2486人、起诉1941件2342人</w:t>
      </w:r>
      <w:r>
        <w:rPr>
          <w:rFonts w:hint="eastAsia" w:ascii="Times New Roman" w:hAnsi="Times New Roman" w:eastAsia="仿宋_GB2312"/>
          <w:sz w:val="32"/>
          <w:szCs w:val="32"/>
        </w:rPr>
        <w:t>。</w:t>
      </w:r>
      <w:r>
        <w:rPr>
          <w:rFonts w:ascii="Times New Roman" w:hAnsi="Times New Roman" w:eastAsia="仿宋_GB2312"/>
          <w:sz w:val="32"/>
          <w:szCs w:val="32"/>
        </w:rPr>
        <w:t>批捕盗窃、抢夺、诈骗等多发性侵财犯罪案件4082件5114人、起诉4306件5345人</w:t>
      </w:r>
      <w:r>
        <w:rPr>
          <w:rFonts w:hint="eastAsia" w:ascii="Times New Roman" w:hAnsi="Times New Roman" w:eastAsia="仿宋_GB2312"/>
          <w:sz w:val="32"/>
          <w:szCs w:val="32"/>
        </w:rPr>
        <w:t>。</w:t>
      </w:r>
      <w:r>
        <w:rPr>
          <w:rFonts w:ascii="Times New Roman" w:hAnsi="Times New Roman" w:eastAsia="仿宋_GB2312"/>
          <w:sz w:val="32"/>
          <w:szCs w:val="32"/>
        </w:rPr>
        <w:t>批捕黄赌毒犯罪案件2967件5090人、起诉3182件5346人</w:t>
      </w:r>
      <w:r>
        <w:rPr>
          <w:rFonts w:hint="eastAsia" w:ascii="Times New Roman" w:hAnsi="Times New Roman" w:eastAsia="仿宋_GB2312"/>
          <w:sz w:val="32"/>
          <w:szCs w:val="32"/>
        </w:rPr>
        <w:t>。</w:t>
      </w:r>
      <w:r>
        <w:rPr>
          <w:rFonts w:ascii="Times New Roman" w:hAnsi="Times New Roman" w:eastAsia="仿宋_GB2312"/>
          <w:sz w:val="32"/>
          <w:szCs w:val="32"/>
        </w:rPr>
        <w:t>依法办理一批社会广泛关注的重特大案件，如</w:t>
      </w:r>
      <w:r>
        <w:rPr>
          <w:rFonts w:hint="eastAsia" w:ascii="Times New Roman" w:hAnsi="Times New Roman" w:eastAsia="仿宋_GB2312"/>
          <w:sz w:val="32"/>
          <w:szCs w:val="32"/>
        </w:rPr>
        <w:t>“</w:t>
      </w:r>
      <w:r>
        <w:rPr>
          <w:rFonts w:ascii="Times New Roman" w:hAnsi="Times New Roman" w:eastAsia="仿宋_GB2312"/>
          <w:sz w:val="32"/>
          <w:szCs w:val="32"/>
        </w:rPr>
        <w:t>3</w:t>
      </w:r>
      <w:r>
        <w:rPr>
          <w:rFonts w:ascii="Times New Roman" w:hAnsi="Times New Roman" w:eastAsia="宋体"/>
          <w:sz w:val="32"/>
          <w:szCs w:val="32"/>
        </w:rPr>
        <w:t>•</w:t>
      </w:r>
      <w:r>
        <w:rPr>
          <w:rFonts w:ascii="Times New Roman" w:hAnsi="Times New Roman" w:eastAsia="仿宋_GB2312"/>
          <w:sz w:val="32"/>
          <w:szCs w:val="32"/>
        </w:rPr>
        <w:t>22</w:t>
      </w:r>
      <w:r>
        <w:rPr>
          <w:rFonts w:hint="eastAsia" w:ascii="Times New Roman" w:hAnsi="Times New Roman" w:eastAsia="仿宋_GB2312"/>
          <w:sz w:val="32"/>
          <w:szCs w:val="32"/>
        </w:rPr>
        <w:t>”</w:t>
      </w:r>
      <w:r>
        <w:rPr>
          <w:rFonts w:ascii="Times New Roman" w:hAnsi="Times New Roman" w:eastAsia="仿宋_GB2312"/>
          <w:sz w:val="32"/>
          <w:szCs w:val="32"/>
        </w:rPr>
        <w:t>南方医科大学刘某故意杀人案、刘某伪造血衣网络造谣寻衅滋事案等。</w:t>
      </w:r>
    </w:p>
    <w:p>
      <w:pPr>
        <w:pStyle w:val="5"/>
        <w:widowControl/>
        <w:pBdr>
          <w:top w:val="none" w:color="333333" w:sz="0" w:space="0"/>
          <w:left w:val="none" w:color="333333" w:sz="0" w:space="0"/>
          <w:bottom w:val="none" w:color="333333" w:sz="0" w:space="0"/>
          <w:right w:val="none" w:color="333333" w:sz="0" w:space="0"/>
        </w:pBdr>
        <w:spacing w:beforeAutospacing="0" w:afterAutospacing="0"/>
        <w:ind w:firstLine="608" w:firstLineChars="200"/>
        <w:textAlignment w:val="baseline"/>
        <w:rPr>
          <w:rFonts w:ascii="Times New Roman" w:hAnsi="Times New Roman" w:eastAsia="仿宋_GB2312"/>
          <w:sz w:val="32"/>
          <w:szCs w:val="32"/>
        </w:rPr>
      </w:pPr>
      <w:r>
        <w:rPr>
          <w:rFonts w:ascii="Times New Roman" w:hAnsi="Times New Roman" w:eastAsia="楷体_GB2312"/>
          <w:sz w:val="32"/>
          <w:szCs w:val="32"/>
        </w:rPr>
        <w:t>积极开展扫黑除恶专项斗争。</w:t>
      </w:r>
      <w:r>
        <w:rPr>
          <w:rFonts w:hint="eastAsia" w:ascii="Times New Roman" w:hAnsi="Times New Roman" w:eastAsia="仿宋_GB2312"/>
          <w:sz w:val="32"/>
          <w:szCs w:val="32"/>
        </w:rPr>
        <w:t>坚持依法办案，不枉不纵</w:t>
      </w:r>
      <w:r>
        <w:rPr>
          <w:rFonts w:ascii="Times New Roman" w:hAnsi="Times New Roman" w:eastAsia="仿宋_GB2312"/>
          <w:sz w:val="32"/>
          <w:szCs w:val="32"/>
        </w:rPr>
        <w:t>，批捕涉黑涉恶犯罪案件64件296人、起诉191件696人，起诉件数</w:t>
      </w:r>
      <w:r>
        <w:rPr>
          <w:rFonts w:hint="eastAsia" w:ascii="Times New Roman" w:hAnsi="Times New Roman" w:eastAsia="仿宋_GB2312"/>
          <w:sz w:val="32"/>
          <w:szCs w:val="32"/>
        </w:rPr>
        <w:t>人数均</w:t>
      </w:r>
      <w:r>
        <w:rPr>
          <w:rFonts w:ascii="Times New Roman" w:hAnsi="Times New Roman" w:eastAsia="仿宋_GB2312"/>
          <w:sz w:val="32"/>
          <w:szCs w:val="32"/>
        </w:rPr>
        <w:t>为全市第一</w:t>
      </w:r>
      <w:r>
        <w:rPr>
          <w:rFonts w:hint="eastAsia" w:ascii="Times New Roman" w:hAnsi="Times New Roman" w:eastAsia="仿宋_GB2312"/>
          <w:sz w:val="32"/>
          <w:szCs w:val="32"/>
        </w:rPr>
        <w:t>。</w:t>
      </w:r>
      <w:r>
        <w:rPr>
          <w:rFonts w:ascii="Times New Roman" w:hAnsi="Times New Roman" w:eastAsia="仿宋_GB2312"/>
          <w:sz w:val="32"/>
          <w:szCs w:val="32"/>
        </w:rPr>
        <w:t>成功办理 “8103”刘某某等人涉黑专案，2件案件被评为广州市扫黑除恶专项斗争典型案例，获评2019年度广州市扫黑除恶专项斗争先进单位、获省检嘉奖。坚持</w:t>
      </w:r>
      <w:r>
        <w:rPr>
          <w:rFonts w:hint="eastAsia" w:ascii="Times New Roman" w:hAnsi="Times New Roman" w:eastAsia="仿宋_GB2312"/>
          <w:sz w:val="32"/>
          <w:szCs w:val="32"/>
        </w:rPr>
        <w:t>“打伞破网”、</w:t>
      </w:r>
      <w:r>
        <w:rPr>
          <w:rFonts w:ascii="Times New Roman" w:hAnsi="Times New Roman" w:eastAsia="仿宋_GB2312"/>
          <w:sz w:val="32"/>
          <w:szCs w:val="32"/>
        </w:rPr>
        <w:t>深挖彻查，收集涉黑涉恶犯罪及伞网线索83条，接收核查线索18条。注重建章立制，行业治理检察建议制发及回复数均为全市第一。持续推进扫黑除恶常态化，</w:t>
      </w:r>
      <w:r>
        <w:rPr>
          <w:rFonts w:hint="eastAsia" w:ascii="Times New Roman" w:hAnsi="Times New Roman" w:eastAsia="仿宋_GB2312"/>
          <w:sz w:val="32"/>
          <w:szCs w:val="32"/>
        </w:rPr>
        <w:t>坚持</w:t>
      </w:r>
      <w:r>
        <w:rPr>
          <w:rFonts w:ascii="Times New Roman" w:hAnsi="Times New Roman" w:eastAsia="仿宋_GB2312"/>
          <w:sz w:val="32"/>
          <w:szCs w:val="32"/>
        </w:rPr>
        <w:t>涉黑及重大涉恶案件</w:t>
      </w:r>
      <w:r>
        <w:rPr>
          <w:rFonts w:hint="eastAsia" w:ascii="Times New Roman" w:hAnsi="Times New Roman" w:eastAsia="仿宋_GB2312"/>
          <w:sz w:val="32"/>
          <w:szCs w:val="32"/>
        </w:rPr>
        <w:t>100%</w:t>
      </w:r>
      <w:r>
        <w:rPr>
          <w:rFonts w:ascii="Times New Roman" w:hAnsi="Times New Roman" w:eastAsia="仿宋_GB2312"/>
          <w:sz w:val="32"/>
          <w:szCs w:val="32"/>
        </w:rPr>
        <w:t>提前介入，办理的</w:t>
      </w:r>
      <w:r>
        <w:rPr>
          <w:rFonts w:hint="eastAsia" w:ascii="Times New Roman" w:hAnsi="Times New Roman" w:eastAsia="仿宋_GB2312"/>
          <w:sz w:val="32"/>
          <w:szCs w:val="32"/>
        </w:rPr>
        <w:t>“</w:t>
      </w:r>
      <w:r>
        <w:rPr>
          <w:rFonts w:ascii="Times New Roman" w:hAnsi="Times New Roman" w:eastAsia="仿宋_GB2312"/>
          <w:sz w:val="32"/>
          <w:szCs w:val="32"/>
        </w:rPr>
        <w:t>2005</w:t>
      </w:r>
      <w:r>
        <w:rPr>
          <w:rFonts w:hint="eastAsia" w:ascii="Times New Roman" w:hAnsi="Times New Roman" w:eastAsia="仿宋_GB2312"/>
          <w:sz w:val="32"/>
          <w:szCs w:val="32"/>
        </w:rPr>
        <w:t>”</w:t>
      </w:r>
      <w:r>
        <w:rPr>
          <w:rFonts w:ascii="Times New Roman" w:hAnsi="Times New Roman" w:eastAsia="仿宋_GB2312"/>
          <w:sz w:val="32"/>
          <w:szCs w:val="32"/>
        </w:rPr>
        <w:t>曾某某等22人涉黑专案，在一个月内提起公诉，努力实现零延期零退查。</w:t>
      </w:r>
    </w:p>
    <w:p>
      <w:pPr>
        <w:pStyle w:val="5"/>
        <w:widowControl/>
        <w:pBdr>
          <w:top w:val="none" w:color="333333" w:sz="0" w:space="0"/>
          <w:left w:val="none" w:color="333333" w:sz="0" w:space="0"/>
          <w:bottom w:val="none" w:color="333333" w:sz="0" w:space="0"/>
          <w:right w:val="none" w:color="333333" w:sz="0" w:space="0"/>
        </w:pBdr>
        <w:spacing w:beforeAutospacing="0" w:afterAutospacing="0"/>
        <w:ind w:firstLine="608" w:firstLineChars="200"/>
        <w:textAlignment w:val="baseline"/>
        <w:rPr>
          <w:rFonts w:ascii="Times New Roman" w:hAnsi="Times New Roman" w:eastAsia="仿宋_GB2312"/>
          <w:sz w:val="32"/>
          <w:szCs w:val="32"/>
        </w:rPr>
      </w:pPr>
      <w:r>
        <w:rPr>
          <w:rFonts w:ascii="Times New Roman" w:hAnsi="Times New Roman" w:eastAsia="楷体_GB2312"/>
          <w:sz w:val="32"/>
          <w:szCs w:val="32"/>
        </w:rPr>
        <w:t>全力促进市域治理现代化。</w:t>
      </w:r>
      <w:r>
        <w:rPr>
          <w:rFonts w:ascii="Times New Roman" w:hAnsi="Times New Roman" w:eastAsia="仿宋_GB2312"/>
          <w:sz w:val="32"/>
          <w:szCs w:val="32"/>
        </w:rPr>
        <w:t>落实</w:t>
      </w:r>
      <w:r>
        <w:rPr>
          <w:rFonts w:hint="eastAsia" w:ascii="Times New Roman" w:hAnsi="Times New Roman" w:eastAsia="仿宋_GB2312"/>
          <w:sz w:val="32"/>
          <w:szCs w:val="32"/>
        </w:rPr>
        <w:t>“</w:t>
      </w:r>
      <w:r>
        <w:rPr>
          <w:rFonts w:ascii="Times New Roman" w:hAnsi="Times New Roman" w:eastAsia="仿宋_GB2312"/>
          <w:sz w:val="32"/>
          <w:szCs w:val="32"/>
        </w:rPr>
        <w:t>重点村</w:t>
      </w:r>
      <w:r>
        <w:rPr>
          <w:rFonts w:hint="eastAsia" w:ascii="Times New Roman" w:hAnsi="Times New Roman" w:eastAsia="仿宋_GB2312"/>
          <w:sz w:val="32"/>
          <w:szCs w:val="32"/>
        </w:rPr>
        <w:t>”</w:t>
      </w:r>
      <w:r>
        <w:rPr>
          <w:rFonts w:ascii="Times New Roman" w:hAnsi="Times New Roman" w:eastAsia="仿宋_GB2312"/>
          <w:sz w:val="32"/>
          <w:szCs w:val="32"/>
        </w:rPr>
        <w:t>社会综合治理专项工作及乡村振兴战略工作，实地走访考察各村违建、环境整治和治安警情等情况，与茅山村、新楼村、乌溪村等6个村结对并参与村内帮扶工作。开展以案促治，发出检察建议189份，均被建议单位采纳并落实整改，梁某某案检察建议获评广州市扫黑除恶专项斗争十佳</w:t>
      </w:r>
      <w:r>
        <w:rPr>
          <w:rFonts w:hint="eastAsia" w:ascii="Times New Roman" w:hAnsi="Times New Roman" w:eastAsia="仿宋_GB2312"/>
          <w:sz w:val="32"/>
          <w:szCs w:val="32"/>
        </w:rPr>
        <w:t>“</w:t>
      </w:r>
      <w:r>
        <w:rPr>
          <w:rFonts w:ascii="Times New Roman" w:hAnsi="Times New Roman" w:eastAsia="仿宋_GB2312"/>
          <w:sz w:val="32"/>
          <w:szCs w:val="32"/>
        </w:rPr>
        <w:t>三书一函</w:t>
      </w:r>
      <w:r>
        <w:rPr>
          <w:rFonts w:hint="eastAsia" w:ascii="Times New Roman" w:hAnsi="Times New Roman" w:eastAsia="仿宋_GB2312"/>
          <w:sz w:val="32"/>
          <w:szCs w:val="32"/>
        </w:rPr>
        <w:t>”</w:t>
      </w:r>
      <w:r>
        <w:rPr>
          <w:rFonts w:ascii="Times New Roman" w:hAnsi="Times New Roman" w:eastAsia="仿宋_GB2312"/>
          <w:sz w:val="32"/>
          <w:szCs w:val="32"/>
        </w:rPr>
        <w:t>。推进</w:t>
      </w:r>
      <w:r>
        <w:rPr>
          <w:rFonts w:hint="eastAsia" w:ascii="Times New Roman" w:hAnsi="Times New Roman" w:eastAsia="仿宋_GB2312"/>
          <w:sz w:val="32"/>
          <w:szCs w:val="32"/>
        </w:rPr>
        <w:t>“</w:t>
      </w:r>
      <w:r>
        <w:rPr>
          <w:rFonts w:ascii="Times New Roman" w:hAnsi="Times New Roman" w:eastAsia="仿宋_GB2312"/>
          <w:sz w:val="32"/>
          <w:szCs w:val="32"/>
        </w:rPr>
        <w:t>谁执法谁普法</w:t>
      </w:r>
      <w:r>
        <w:rPr>
          <w:rFonts w:hint="eastAsia" w:ascii="Times New Roman" w:hAnsi="Times New Roman" w:eastAsia="仿宋_GB2312"/>
          <w:sz w:val="32"/>
          <w:szCs w:val="32"/>
        </w:rPr>
        <w:t>”</w:t>
      </w:r>
      <w:r>
        <w:rPr>
          <w:rFonts w:ascii="Times New Roman" w:hAnsi="Times New Roman" w:eastAsia="仿宋_GB2312"/>
          <w:sz w:val="32"/>
          <w:szCs w:val="32"/>
        </w:rPr>
        <w:t>工作，围绕宪法、民法典等普法重点，开展检察官</w:t>
      </w:r>
      <w:r>
        <w:rPr>
          <w:rFonts w:hint="eastAsia" w:ascii="Times New Roman" w:hAnsi="Times New Roman" w:eastAsia="仿宋_GB2312"/>
          <w:sz w:val="32"/>
          <w:szCs w:val="32"/>
        </w:rPr>
        <w:t>“</w:t>
      </w:r>
      <w:r>
        <w:rPr>
          <w:rFonts w:ascii="Times New Roman" w:hAnsi="Times New Roman" w:eastAsia="仿宋_GB2312"/>
          <w:sz w:val="32"/>
          <w:szCs w:val="32"/>
        </w:rPr>
        <w:t>八进</w:t>
      </w:r>
      <w:r>
        <w:rPr>
          <w:rFonts w:hint="eastAsia" w:ascii="Times New Roman" w:hAnsi="Times New Roman" w:eastAsia="仿宋_GB2312"/>
          <w:sz w:val="32"/>
          <w:szCs w:val="32"/>
        </w:rPr>
        <w:t>”</w:t>
      </w:r>
      <w:r>
        <w:rPr>
          <w:rFonts w:ascii="Times New Roman" w:hAnsi="Times New Roman" w:eastAsia="仿宋_GB2312"/>
          <w:sz w:val="32"/>
          <w:szCs w:val="32"/>
        </w:rPr>
        <w:t>活动87场次，在2020年度白云区国家机关</w:t>
      </w:r>
      <w:r>
        <w:rPr>
          <w:rFonts w:hint="eastAsia" w:ascii="Times New Roman" w:hAnsi="Times New Roman" w:eastAsia="仿宋_GB2312"/>
          <w:sz w:val="32"/>
          <w:szCs w:val="32"/>
        </w:rPr>
        <w:t>“</w:t>
      </w:r>
      <w:r>
        <w:rPr>
          <w:rFonts w:ascii="Times New Roman" w:hAnsi="Times New Roman" w:eastAsia="仿宋_GB2312"/>
          <w:sz w:val="32"/>
          <w:szCs w:val="32"/>
        </w:rPr>
        <w:t>谁执法谁普法</w:t>
      </w:r>
      <w:r>
        <w:rPr>
          <w:rFonts w:hint="eastAsia" w:ascii="Times New Roman" w:hAnsi="Times New Roman" w:eastAsia="仿宋_GB2312"/>
          <w:sz w:val="32"/>
          <w:szCs w:val="32"/>
        </w:rPr>
        <w:t>”</w:t>
      </w:r>
      <w:r>
        <w:rPr>
          <w:rFonts w:ascii="Times New Roman" w:hAnsi="Times New Roman" w:eastAsia="仿宋_GB2312"/>
          <w:sz w:val="32"/>
          <w:szCs w:val="32"/>
        </w:rPr>
        <w:t>履职报告评议中获评</w:t>
      </w:r>
      <w:r>
        <w:rPr>
          <w:rFonts w:hint="eastAsia" w:ascii="Times New Roman" w:hAnsi="Times New Roman" w:eastAsia="仿宋_GB2312"/>
          <w:sz w:val="32"/>
          <w:szCs w:val="32"/>
        </w:rPr>
        <w:t>“</w:t>
      </w:r>
      <w:r>
        <w:rPr>
          <w:rFonts w:ascii="Times New Roman" w:hAnsi="Times New Roman" w:eastAsia="仿宋_GB2312"/>
          <w:sz w:val="32"/>
          <w:szCs w:val="32"/>
        </w:rPr>
        <w:t>优秀单位</w:t>
      </w:r>
      <w:r>
        <w:rPr>
          <w:rFonts w:hint="eastAsia" w:ascii="Times New Roman" w:hAnsi="Times New Roman" w:eastAsia="仿宋_GB2312"/>
          <w:sz w:val="32"/>
          <w:szCs w:val="32"/>
        </w:rPr>
        <w:t>”</w:t>
      </w:r>
      <w:r>
        <w:rPr>
          <w:rFonts w:ascii="Times New Roman" w:hAnsi="Times New Roman" w:eastAsia="仿宋_GB2312"/>
          <w:sz w:val="32"/>
          <w:szCs w:val="32"/>
        </w:rPr>
        <w:t>称号，连续五年共有干警5人次获评全国检察机关宣传先进个人。</w:t>
      </w:r>
    </w:p>
    <w:p>
      <w:pPr>
        <w:pStyle w:val="5"/>
        <w:widowControl/>
        <w:pBdr>
          <w:top w:val="none" w:color="333333" w:sz="0" w:space="0"/>
          <w:left w:val="none" w:color="333333" w:sz="0" w:space="0"/>
          <w:bottom w:val="none" w:color="333333" w:sz="0" w:space="0"/>
          <w:right w:val="none" w:color="333333" w:sz="0" w:space="0"/>
        </w:pBdr>
        <w:spacing w:beforeAutospacing="0" w:afterAutospacing="0"/>
        <w:ind w:firstLine="608" w:firstLineChars="200"/>
        <w:textAlignment w:val="baseline"/>
        <w:rPr>
          <w:rFonts w:ascii="Times New Roman" w:hAnsi="Times New Roman" w:eastAsia="黑体"/>
          <w:sz w:val="32"/>
          <w:szCs w:val="32"/>
        </w:rPr>
      </w:pPr>
      <w:r>
        <w:rPr>
          <w:rFonts w:ascii="Times New Roman" w:hAnsi="黑体" w:eastAsia="黑体"/>
          <w:sz w:val="32"/>
          <w:szCs w:val="32"/>
        </w:rPr>
        <w:t>三、坚守公平正义，努力推动四大检察全面协调充分发展</w:t>
      </w:r>
    </w:p>
    <w:p>
      <w:pPr>
        <w:pStyle w:val="5"/>
        <w:widowControl/>
        <w:pBdr>
          <w:top w:val="none" w:color="333333" w:sz="0" w:space="0"/>
          <w:left w:val="none" w:color="333333" w:sz="0" w:space="0"/>
          <w:bottom w:val="none" w:color="333333" w:sz="0" w:space="0"/>
          <w:right w:val="none" w:color="333333" w:sz="0" w:space="0"/>
        </w:pBdr>
        <w:spacing w:beforeAutospacing="0" w:afterAutospacing="0"/>
        <w:ind w:firstLine="608" w:firstLineChars="200"/>
        <w:textAlignment w:val="baseline"/>
        <w:rPr>
          <w:rFonts w:ascii="Times New Roman" w:hAnsi="Times New Roman" w:eastAsia="仿宋_GB2312"/>
          <w:sz w:val="32"/>
          <w:szCs w:val="32"/>
        </w:rPr>
      </w:pPr>
      <w:r>
        <w:rPr>
          <w:rFonts w:ascii="Times New Roman" w:hAnsi="Times New Roman" w:eastAsia="楷体_GB2312"/>
          <w:sz w:val="32"/>
          <w:szCs w:val="32"/>
        </w:rPr>
        <w:t>努力做优刑事检察。</w:t>
      </w:r>
      <w:r>
        <w:rPr>
          <w:rFonts w:ascii="Times New Roman" w:hAnsi="Times New Roman" w:eastAsia="仿宋_GB2312"/>
          <w:sz w:val="32"/>
          <w:szCs w:val="32"/>
        </w:rPr>
        <w:t>强化刑事诉讼监督，依法不批捕5396人、不起诉2535人，纠正漏捕476人、漏诉175人，监督立案52件、撤案186件、提出书面纠正侦查违法意见101件</w:t>
      </w:r>
      <w:r>
        <w:rPr>
          <w:rFonts w:hint="eastAsia" w:ascii="Times New Roman" w:hAnsi="Times New Roman" w:eastAsia="仿宋_GB2312"/>
          <w:sz w:val="32"/>
          <w:szCs w:val="32"/>
        </w:rPr>
        <w:t>。</w:t>
      </w:r>
      <w:r>
        <w:rPr>
          <w:rFonts w:ascii="Times New Roman" w:hAnsi="Times New Roman" w:eastAsia="仿宋_GB2312"/>
          <w:sz w:val="32"/>
          <w:szCs w:val="32"/>
        </w:rPr>
        <w:t>办理的曾某某贩卖毒品案入选省检十大优秀侦查活动监督案例</w:t>
      </w:r>
      <w:r>
        <w:rPr>
          <w:rFonts w:hint="eastAsia" w:ascii="Times New Roman" w:hAnsi="Times New Roman" w:eastAsia="仿宋_GB2312"/>
          <w:sz w:val="32"/>
          <w:szCs w:val="32"/>
        </w:rPr>
        <w:t>。</w:t>
      </w:r>
      <w:r>
        <w:rPr>
          <w:rFonts w:ascii="Times New Roman" w:hAnsi="Times New Roman" w:eastAsia="仿宋_GB2312"/>
          <w:sz w:val="32"/>
          <w:szCs w:val="32"/>
        </w:rPr>
        <w:t>健全行政执法与刑事司法衔接机制，督促行政执法机关移送涉嫌犯罪案件148件，提起刑事裁判抗诉20件，办理羁押必要性审查案件1737件，</w:t>
      </w:r>
      <w:r>
        <w:rPr>
          <w:rFonts w:hint="eastAsia" w:ascii="Times New Roman" w:hAnsi="Times New Roman" w:eastAsia="仿宋_GB2312"/>
          <w:sz w:val="32"/>
          <w:szCs w:val="32"/>
        </w:rPr>
        <w:t>今年目前</w:t>
      </w:r>
      <w:r>
        <w:rPr>
          <w:rFonts w:ascii="Times New Roman" w:hAnsi="Times New Roman" w:eastAsia="仿宋_GB2312"/>
          <w:sz w:val="32"/>
          <w:szCs w:val="32"/>
        </w:rPr>
        <w:t>审前羁押率</w:t>
      </w:r>
      <w:r>
        <w:rPr>
          <w:rFonts w:hint="eastAsia" w:ascii="Times New Roman" w:hAnsi="Times New Roman" w:eastAsia="仿宋_GB2312"/>
          <w:sz w:val="32"/>
          <w:szCs w:val="32"/>
        </w:rPr>
        <w:t>比</w:t>
      </w:r>
      <w:r>
        <w:rPr>
          <w:rFonts w:ascii="Times New Roman" w:hAnsi="Times New Roman" w:eastAsia="仿宋_GB2312"/>
          <w:sz w:val="32"/>
          <w:szCs w:val="32"/>
        </w:rPr>
        <w:t>2016年度同期下降</w:t>
      </w:r>
      <w:r>
        <w:rPr>
          <w:rFonts w:hint="eastAsia" w:ascii="Times New Roman" w:hAnsi="Times New Roman" w:eastAsia="仿宋_GB2312"/>
          <w:sz w:val="32"/>
          <w:szCs w:val="32"/>
        </w:rPr>
        <w:t>19.26%</w:t>
      </w:r>
      <w:r>
        <w:rPr>
          <w:rFonts w:ascii="Times New Roman" w:hAnsi="Times New Roman" w:eastAsia="仿宋_GB2312"/>
          <w:sz w:val="32"/>
          <w:szCs w:val="32"/>
        </w:rPr>
        <w:t>，体现司法文明善意，最大限度减少社会对立面。驻所检察867天，巡查2133次，办理重大刑事案件侦查终结前讯问合法性核查案件265件265人，核查涉嫌超期羁押人员17590人次</w:t>
      </w:r>
      <w:r>
        <w:rPr>
          <w:rFonts w:hint="eastAsia" w:ascii="Times New Roman" w:hAnsi="Times New Roman" w:eastAsia="仿宋_GB2312"/>
          <w:sz w:val="32"/>
          <w:szCs w:val="32"/>
        </w:rPr>
        <w:t>。</w:t>
      </w:r>
      <w:r>
        <w:rPr>
          <w:rFonts w:ascii="Times New Roman" w:hAnsi="Times New Roman" w:eastAsia="仿宋_GB2312"/>
          <w:sz w:val="32"/>
          <w:szCs w:val="32"/>
        </w:rPr>
        <w:t>办理在押人员合法权益监督案获评2019年全国检察机关精品案件。纠正减刑、假释、暂予监外执行不当以及社区矫正脱管漏管116件，纠正判处实行罪犯未交付执行刑罚497人，对15207名被判处财产刑人员进行核查，监督执行290件，推动执行872.9万元。</w:t>
      </w:r>
    </w:p>
    <w:p>
      <w:pPr>
        <w:pStyle w:val="5"/>
        <w:widowControl/>
        <w:pBdr>
          <w:top w:val="none" w:color="333333" w:sz="0" w:space="0"/>
          <w:left w:val="none" w:color="333333" w:sz="0" w:space="0"/>
          <w:bottom w:val="none" w:color="333333" w:sz="0" w:space="0"/>
          <w:right w:val="none" w:color="333333" w:sz="0" w:space="0"/>
        </w:pBdr>
        <w:spacing w:beforeAutospacing="0" w:afterAutospacing="0"/>
        <w:ind w:firstLine="608" w:firstLineChars="200"/>
        <w:textAlignment w:val="baseline"/>
        <w:rPr>
          <w:rFonts w:ascii="Times New Roman" w:hAnsi="Times New Roman" w:eastAsia="仿宋_GB2312"/>
          <w:sz w:val="32"/>
          <w:szCs w:val="32"/>
        </w:rPr>
      </w:pPr>
      <w:r>
        <w:rPr>
          <w:rFonts w:ascii="Times New Roman" w:hAnsi="Times New Roman" w:eastAsia="楷体_GB2312"/>
          <w:sz w:val="32"/>
          <w:szCs w:val="32"/>
        </w:rPr>
        <w:t>努力做强民事检察。</w:t>
      </w:r>
      <w:r>
        <w:rPr>
          <w:rFonts w:ascii="Times New Roman" w:hAnsi="Times New Roman" w:eastAsia="仿宋_GB2312"/>
          <w:sz w:val="32"/>
          <w:szCs w:val="32"/>
        </w:rPr>
        <w:t>精准开展民事诉讼监督，共受理民事检察监督案件328件，其中对生效裁判的监督111件，审判程序活动监督12件，执行监督136件，支持起诉69件</w:t>
      </w:r>
      <w:r>
        <w:rPr>
          <w:rFonts w:hint="eastAsia" w:ascii="Times New Roman" w:hAnsi="Times New Roman" w:eastAsia="仿宋_GB2312"/>
          <w:sz w:val="32"/>
          <w:szCs w:val="32"/>
        </w:rPr>
        <w:t>。</w:t>
      </w:r>
      <w:r>
        <w:rPr>
          <w:rFonts w:ascii="Times New Roman" w:hAnsi="Times New Roman" w:eastAsia="仿宋_GB2312"/>
          <w:sz w:val="32"/>
          <w:szCs w:val="32"/>
        </w:rPr>
        <w:t>入选最高检指导性案例、省检典型案例4件。对民事生效裁判、调解书提请抗诉20件，法院再审改判17件，居全市前列。对合法公正的裁判，引导当事人服判息诉194件，促成和解15件。加大虚假诉讼专项监督力度，共办理虚假诉讼45件，成功办理全市首宗虚假劳动仲裁执行监督案，办理的</w:t>
      </w:r>
      <w:r>
        <w:rPr>
          <w:rFonts w:hint="eastAsia" w:ascii="Times New Roman" w:hAnsi="Times New Roman" w:eastAsia="仿宋_GB2312"/>
          <w:sz w:val="32"/>
          <w:szCs w:val="32"/>
        </w:rPr>
        <w:t>广州市</w:t>
      </w:r>
      <w:r>
        <w:rPr>
          <w:rFonts w:ascii="Times New Roman" w:hAnsi="Times New Roman" w:eastAsia="仿宋_GB2312"/>
          <w:sz w:val="32"/>
          <w:szCs w:val="32"/>
        </w:rPr>
        <w:t>广</w:t>
      </w:r>
      <w:r>
        <w:rPr>
          <w:rFonts w:hint="eastAsia" w:ascii="Times New Roman" w:hAnsi="Times New Roman" w:eastAsia="仿宋_GB2312"/>
          <w:sz w:val="32"/>
          <w:szCs w:val="32"/>
        </w:rPr>
        <w:t>田</w:t>
      </w:r>
      <w:r>
        <w:rPr>
          <w:rFonts w:ascii="Times New Roman" w:hAnsi="Times New Roman" w:eastAsia="仿宋_GB2312"/>
          <w:sz w:val="32"/>
          <w:szCs w:val="32"/>
        </w:rPr>
        <w:t>置业</w:t>
      </w:r>
      <w:r>
        <w:rPr>
          <w:rFonts w:hint="eastAsia" w:ascii="Times New Roman" w:hAnsi="Times New Roman" w:eastAsia="仿宋_GB2312"/>
          <w:sz w:val="32"/>
          <w:szCs w:val="32"/>
        </w:rPr>
        <w:t>有限</w:t>
      </w:r>
      <w:r>
        <w:rPr>
          <w:rFonts w:ascii="Times New Roman" w:hAnsi="Times New Roman" w:eastAsia="仿宋_GB2312"/>
          <w:sz w:val="32"/>
          <w:szCs w:val="32"/>
        </w:rPr>
        <w:t>公司虚假诉讼监督案，为国家挽回1.09亿元的巨额财产损失，入选最高检民事检察首批</w:t>
      </w:r>
      <w:r>
        <w:rPr>
          <w:rFonts w:hint="eastAsia" w:ascii="Times New Roman" w:hAnsi="Times New Roman" w:eastAsia="仿宋_GB2312"/>
          <w:sz w:val="32"/>
          <w:szCs w:val="32"/>
        </w:rPr>
        <w:t>、广州首例</w:t>
      </w:r>
      <w:r>
        <w:rPr>
          <w:rFonts w:ascii="Times New Roman" w:hAnsi="Times New Roman" w:eastAsia="仿宋_GB2312"/>
          <w:sz w:val="32"/>
          <w:szCs w:val="32"/>
        </w:rPr>
        <w:t>指导性案例。</w:t>
      </w:r>
    </w:p>
    <w:p>
      <w:pPr>
        <w:pStyle w:val="5"/>
        <w:widowControl/>
        <w:pBdr>
          <w:top w:val="none" w:color="333333" w:sz="0" w:space="0"/>
          <w:left w:val="none" w:color="333333" w:sz="0" w:space="0"/>
          <w:bottom w:val="none" w:color="333333" w:sz="0" w:space="0"/>
          <w:right w:val="none" w:color="333333" w:sz="0" w:space="0"/>
        </w:pBdr>
        <w:spacing w:beforeAutospacing="0" w:afterAutospacing="0"/>
        <w:ind w:firstLine="608" w:firstLineChars="200"/>
        <w:textAlignment w:val="baseline"/>
        <w:rPr>
          <w:rFonts w:ascii="Times New Roman" w:hAnsi="Times New Roman" w:eastAsia="仿宋_GB2312"/>
          <w:sz w:val="32"/>
          <w:szCs w:val="32"/>
        </w:rPr>
      </w:pPr>
      <w:r>
        <w:rPr>
          <w:rFonts w:ascii="Times New Roman" w:hAnsi="Times New Roman" w:eastAsia="楷体_GB2312"/>
          <w:sz w:val="32"/>
          <w:szCs w:val="32"/>
        </w:rPr>
        <w:t>努力做实行政检察。</w:t>
      </w:r>
      <w:r>
        <w:rPr>
          <w:rFonts w:ascii="Times New Roman" w:hAnsi="Times New Roman" w:eastAsia="仿宋_GB2312"/>
          <w:sz w:val="32"/>
          <w:szCs w:val="32"/>
        </w:rPr>
        <w:t>全面深化行政检察监督，共受理行政检察监督案件65件，提出检察建议16件，采纳率达100%。积极开展行政争议实质性化解，妥善化解区内某纳税大户与工人的劳动争议纠纷，实现案结事了人和政通。加强对行政非诉执行的全流程监督，办理的</w:t>
      </w:r>
      <w:r>
        <w:rPr>
          <w:rFonts w:hint="eastAsia" w:ascii="Times New Roman" w:hAnsi="Times New Roman" w:eastAsia="仿宋_GB2312"/>
          <w:color w:val="000000" w:themeColor="text1"/>
          <w:sz w:val="32"/>
          <w:szCs w:val="32"/>
        </w:rPr>
        <w:t>“</w:t>
      </w:r>
      <w:r>
        <w:rPr>
          <w:rFonts w:ascii="Times New Roman" w:hAnsi="Times New Roman" w:eastAsia="仿宋_GB2312"/>
          <w:color w:val="000000" w:themeColor="text1"/>
          <w:sz w:val="32"/>
          <w:szCs w:val="32"/>
        </w:rPr>
        <w:t>大木朗</w:t>
      </w:r>
      <w:r>
        <w:rPr>
          <w:rFonts w:hint="eastAsia" w:ascii="Times New Roman" w:hAnsi="Times New Roman" w:eastAsia="仿宋_GB2312"/>
          <w:color w:val="000000" w:themeColor="text1"/>
          <w:sz w:val="32"/>
          <w:szCs w:val="32"/>
        </w:rPr>
        <w:t>”</w:t>
      </w:r>
      <w:r>
        <w:rPr>
          <w:rFonts w:ascii="Times New Roman" w:hAnsi="Times New Roman" w:eastAsia="仿宋_GB2312"/>
          <w:sz w:val="32"/>
          <w:szCs w:val="32"/>
        </w:rPr>
        <w:t>行政非诉执行监督案，被省检、省司法厅作为社会治理典型案例，并呈报最高检推广。</w:t>
      </w:r>
    </w:p>
    <w:p>
      <w:pPr>
        <w:pStyle w:val="5"/>
        <w:widowControl/>
        <w:pBdr>
          <w:top w:val="none" w:color="333333" w:sz="0" w:space="0"/>
          <w:left w:val="none" w:color="333333" w:sz="0" w:space="0"/>
          <w:bottom w:val="none" w:color="333333" w:sz="0" w:space="0"/>
          <w:right w:val="none" w:color="333333" w:sz="0" w:space="0"/>
        </w:pBdr>
        <w:spacing w:beforeAutospacing="0" w:afterAutospacing="0"/>
        <w:ind w:firstLine="608" w:firstLineChars="200"/>
        <w:textAlignment w:val="baseline"/>
        <w:rPr>
          <w:rFonts w:ascii="Times New Roman" w:hAnsi="Times New Roman" w:eastAsia="楷体_GB2312"/>
          <w:sz w:val="32"/>
          <w:szCs w:val="32"/>
        </w:rPr>
      </w:pPr>
      <w:r>
        <w:rPr>
          <w:rFonts w:ascii="Times New Roman" w:hAnsi="Times New Roman" w:eastAsia="楷体_GB2312"/>
          <w:sz w:val="32"/>
          <w:szCs w:val="32"/>
        </w:rPr>
        <w:t>努力做好公益诉讼检察。</w:t>
      </w:r>
      <w:r>
        <w:rPr>
          <w:rFonts w:ascii="Times New Roman" w:hAnsi="Times New Roman" w:eastAsia="仿宋_GB2312"/>
          <w:sz w:val="32"/>
          <w:szCs w:val="32"/>
        </w:rPr>
        <w:t>扎实办好生态环境和资源保护、食品药品安全、国有财产保护、国有土地使用权出让及英烈保护等五大领域案件，积极稳妥拓展文物和非物质文化遗产保护、安全生产、公共卫生安全等领域公益诉讼工作。共受理公益诉讼案件490件，办理诉前程序案件489件，起诉16件</w:t>
      </w:r>
      <w:r>
        <w:rPr>
          <w:rFonts w:hint="eastAsia" w:ascii="Times New Roman" w:hAnsi="Times New Roman" w:eastAsia="仿宋_GB2312"/>
          <w:sz w:val="32"/>
          <w:szCs w:val="32"/>
        </w:rPr>
        <w:t>。</w:t>
      </w:r>
      <w:r>
        <w:rPr>
          <w:rFonts w:ascii="Times New Roman" w:hAnsi="Times New Roman" w:eastAsia="仿宋_GB2312"/>
          <w:sz w:val="32"/>
          <w:szCs w:val="32"/>
        </w:rPr>
        <w:t>支持中华环保联合会提起环境污染公益诉讼案入选最高法十大典型案例，行政公益诉讼工作获最高检</w:t>
      </w:r>
      <w:r>
        <w:rPr>
          <w:rFonts w:hint="eastAsia" w:ascii="Times New Roman" w:hAnsi="Times New Roman" w:eastAsia="仿宋_GB2312"/>
          <w:sz w:val="32"/>
          <w:szCs w:val="32"/>
        </w:rPr>
        <w:t>“</w:t>
      </w:r>
      <w:r>
        <w:rPr>
          <w:rFonts w:ascii="Times New Roman" w:hAnsi="Times New Roman" w:eastAsia="仿宋_GB2312"/>
          <w:sz w:val="32"/>
          <w:szCs w:val="32"/>
        </w:rPr>
        <w:t>走进100家基层检察院</w:t>
      </w:r>
      <w:r>
        <w:rPr>
          <w:rFonts w:hint="eastAsia" w:ascii="Times New Roman" w:hAnsi="Times New Roman" w:eastAsia="仿宋_GB2312"/>
          <w:sz w:val="32"/>
          <w:szCs w:val="32"/>
        </w:rPr>
        <w:t>”</w:t>
      </w:r>
      <w:r>
        <w:rPr>
          <w:rFonts w:ascii="Times New Roman" w:hAnsi="Times New Roman" w:eastAsia="仿宋_GB2312"/>
          <w:sz w:val="32"/>
          <w:szCs w:val="32"/>
        </w:rPr>
        <w:t>活动专访肯定。督促修复农用地约192.15亩，拆除违章建筑约14.93亩，清理生活垃圾约6.5吨，治理河流16条，维修养护文物11处，追缴违规发放的基本养老金21.26万元，索赔生态环境和资源保护、食品药品安全领域赔偿金544.27万元。</w:t>
      </w:r>
    </w:p>
    <w:p>
      <w:pPr>
        <w:pStyle w:val="5"/>
        <w:widowControl/>
        <w:pBdr>
          <w:top w:val="none" w:color="333333" w:sz="0" w:space="0"/>
          <w:left w:val="none" w:color="333333" w:sz="0" w:space="0"/>
          <w:bottom w:val="none" w:color="333333" w:sz="0" w:space="0"/>
          <w:right w:val="none" w:color="333333" w:sz="0" w:space="0"/>
        </w:pBdr>
        <w:spacing w:beforeAutospacing="0" w:afterAutospacing="0"/>
        <w:ind w:firstLine="608" w:firstLineChars="200"/>
        <w:textAlignment w:val="baseline"/>
        <w:rPr>
          <w:rFonts w:ascii="Times New Roman" w:hAnsi="Times New Roman" w:eastAsia="黑体"/>
          <w:sz w:val="32"/>
          <w:szCs w:val="32"/>
        </w:rPr>
      </w:pPr>
      <w:r>
        <w:rPr>
          <w:rFonts w:ascii="Times New Roman" w:hAnsi="黑体" w:eastAsia="黑体"/>
          <w:sz w:val="32"/>
          <w:szCs w:val="32"/>
        </w:rPr>
        <w:t>四、坚持司法为民，切实加强民生服务保障工作</w:t>
      </w:r>
    </w:p>
    <w:p>
      <w:pPr>
        <w:overflowPunct w:val="0"/>
        <w:autoSpaceDE w:val="0"/>
        <w:autoSpaceDN w:val="0"/>
        <w:ind w:firstLine="608" w:firstLineChars="200"/>
        <w:rPr>
          <w:rFonts w:ascii="Times New Roman" w:hAnsi="Times New Roman" w:eastAsia="仿宋_GB2312" w:cs="Times New Roman"/>
          <w:sz w:val="32"/>
          <w:szCs w:val="32"/>
        </w:rPr>
      </w:pPr>
      <w:r>
        <w:rPr>
          <w:rFonts w:ascii="Times New Roman" w:hAnsi="Times New Roman" w:eastAsia="楷体_GB2312" w:cs="Times New Roman"/>
          <w:sz w:val="32"/>
          <w:szCs w:val="32"/>
        </w:rPr>
        <w:t>落实</w:t>
      </w:r>
      <w:r>
        <w:rPr>
          <w:rFonts w:hint="eastAsia" w:ascii="Times New Roman" w:hAnsi="Times New Roman" w:eastAsia="楷体_GB2312" w:cs="Times New Roman"/>
          <w:sz w:val="32"/>
          <w:szCs w:val="32"/>
        </w:rPr>
        <w:t>“</w:t>
      </w:r>
      <w:r>
        <w:rPr>
          <w:rFonts w:ascii="Times New Roman" w:hAnsi="Times New Roman" w:eastAsia="楷体_GB2312" w:cs="Times New Roman"/>
          <w:sz w:val="32"/>
          <w:szCs w:val="32"/>
        </w:rPr>
        <w:t>一号检察建议</w:t>
      </w:r>
      <w:r>
        <w:rPr>
          <w:rFonts w:hint="eastAsia" w:ascii="Times New Roman" w:hAnsi="Times New Roman" w:eastAsia="楷体_GB2312" w:cs="Times New Roman"/>
          <w:sz w:val="32"/>
          <w:szCs w:val="32"/>
        </w:rPr>
        <w:t>”</w:t>
      </w:r>
      <w:r>
        <w:rPr>
          <w:rFonts w:ascii="Times New Roman" w:hAnsi="Times New Roman" w:eastAsia="楷体_GB2312" w:cs="Times New Roman"/>
          <w:sz w:val="32"/>
          <w:szCs w:val="32"/>
        </w:rPr>
        <w:t>。</w:t>
      </w:r>
      <w:r>
        <w:rPr>
          <w:rFonts w:ascii="Times New Roman" w:hAnsi="Times New Roman" w:eastAsia="仿宋_GB2312" w:cs="Times New Roman"/>
          <w:sz w:val="32"/>
          <w:szCs w:val="32"/>
        </w:rPr>
        <w:t>严厉打击侵犯未成年人犯罪，批捕295件360人</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起诉339件419人</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宽严相济办理未成年人犯罪案件，受理未成年人犯罪案件858件1228人，其中不批捕255人</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不起诉107人，开展考察帮教87人，案件数量居全市第一。完善未成年人救助保护机制，签订社会支持体系的合作框架协议，建立侵害未成年人违法犯罪信息库</w:t>
      </w:r>
      <w:r>
        <w:rPr>
          <w:rFonts w:hint="eastAsia" w:ascii="Times New Roman" w:hAnsi="Times New Roman" w:eastAsia="仿宋_GB2312" w:cs="Times New Roman"/>
          <w:sz w:val="32"/>
          <w:szCs w:val="32"/>
        </w:rPr>
        <w:t>和</w:t>
      </w:r>
      <w:r>
        <w:rPr>
          <w:rFonts w:ascii="Times New Roman" w:hAnsi="Times New Roman" w:eastAsia="仿宋_GB2312" w:cs="Times New Roman"/>
          <w:sz w:val="32"/>
          <w:szCs w:val="32"/>
        </w:rPr>
        <w:t>案件强制报告制度，主导建设白云区</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护蕊</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未成年人取证救助一站式工作室，尽力防止</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二次伤害</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。加强未成年人法治宣传教育，发布未成年人检察工作白皮书，推进检察长兼任法治副校长工作，开展</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法治进校园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等普法教育活动61场次，促进校园法治建设。</w:t>
      </w:r>
    </w:p>
    <w:p>
      <w:pPr>
        <w:overflowPunct w:val="0"/>
        <w:autoSpaceDE w:val="0"/>
        <w:autoSpaceDN w:val="0"/>
        <w:ind w:firstLine="608" w:firstLineChars="200"/>
        <w:rPr>
          <w:rFonts w:ascii="Times New Roman" w:hAnsi="Times New Roman" w:eastAsia="仿宋_GB2312" w:cs="Times New Roman"/>
          <w:kern w:val="0"/>
          <w:sz w:val="32"/>
          <w:szCs w:val="32"/>
        </w:rPr>
      </w:pPr>
      <w:r>
        <w:rPr>
          <w:rFonts w:ascii="Times New Roman" w:hAnsi="Times New Roman" w:eastAsia="楷体_GB2312" w:cs="Times New Roman"/>
          <w:sz w:val="32"/>
          <w:szCs w:val="32"/>
        </w:rPr>
        <w:t>聚焦民生热点难点。</w:t>
      </w:r>
      <w:r>
        <w:rPr>
          <w:rFonts w:ascii="Times New Roman" w:hAnsi="Times New Roman" w:eastAsia="仿宋_GB2312" w:cs="Times New Roman"/>
          <w:kern w:val="0"/>
          <w:sz w:val="32"/>
          <w:szCs w:val="32"/>
        </w:rPr>
        <w:t>保障</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千家万户舌尖上的安全</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，严厉打击生产销售伪劣食品、药品犯罪，批捕26件42人</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起诉35件69人</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开展</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校园安心餐饮</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问题疫苗</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凉茶安全</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等专项监督，组织对全区47家疫苗使用接收单位进行排查，监督封存列入召回名单的疫苗582支。维护劳务人员合法权益，起诉恶意欠薪案件50件51人，支持起诉61件61人、帮助追回劳动报酬70万余元</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办理的首宗涉疫情劳资纠纷支持起诉案获省检推广。积极参与</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断卡</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行动和全面打击治理电信网络诈骗攻坚行动，批捕163件202人</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起诉153件198人，有效遏制电信网络诈骗犯罪案件高发态势。推进个人信息保护，批捕侵犯公民个人信息犯罪48件83人</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起诉47件73人，率先办理全市首宗个人信息保护领域刑事附带民事公益诉讼案件。</w:t>
      </w:r>
    </w:p>
    <w:p>
      <w:pPr>
        <w:overflowPunct w:val="0"/>
        <w:autoSpaceDE w:val="0"/>
        <w:autoSpaceDN w:val="0"/>
        <w:ind w:firstLine="608" w:firstLineChars="200"/>
        <w:rPr>
          <w:rFonts w:ascii="Times New Roman" w:hAnsi="Times New Roman" w:eastAsia="仿宋_GB2312" w:cs="Times New Roman"/>
          <w:sz w:val="32"/>
          <w:szCs w:val="32"/>
        </w:rPr>
      </w:pPr>
      <w:r>
        <w:rPr>
          <w:rFonts w:ascii="Times New Roman" w:hAnsi="Times New Roman" w:eastAsia="楷体_GB2312" w:cs="Times New Roman"/>
          <w:sz w:val="32"/>
          <w:szCs w:val="32"/>
        </w:rPr>
        <w:t>优化便民利民服务。</w:t>
      </w:r>
      <w:r>
        <w:rPr>
          <w:rFonts w:ascii="Times New Roman" w:hAnsi="Times New Roman" w:eastAsia="仿宋_GB2312" w:cs="Times New Roman"/>
          <w:sz w:val="32"/>
          <w:szCs w:val="32"/>
        </w:rPr>
        <w:t>打造12309检察服务中心，为群众提供一体化、系统化、智能化服务。践行</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群众来信件件有回复</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承诺，落实信访案件一次性受理、快速流转、重要案件检察长专办、第三方参与涉法涉诉矛盾纠纷化解等机制，办理涉法涉诉来信来访3300件、控告申诉案件1881件，均居全市第一。创建司法救助</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暖阳工程</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品牌，强化心理辅导、联合救助为一体的救助体系，共办理司法救助案件31件42人，发放救助金139.29万元，切实防止因案致贫返贫，办理的吴某某等三人司法救助案获评广东省检察机关十大精品案例。</w:t>
      </w:r>
    </w:p>
    <w:p>
      <w:pPr>
        <w:overflowPunct w:val="0"/>
        <w:autoSpaceDE w:val="0"/>
        <w:autoSpaceDN w:val="0"/>
        <w:ind w:firstLine="608" w:firstLineChars="200"/>
        <w:rPr>
          <w:rFonts w:ascii="Times New Roman" w:hAnsi="Times New Roman" w:eastAsia="仿宋_GB2312" w:cs="Times New Roman"/>
          <w:sz w:val="32"/>
          <w:szCs w:val="32"/>
        </w:rPr>
      </w:pPr>
      <w:r>
        <w:rPr>
          <w:rFonts w:ascii="Times New Roman" w:hAnsi="Times New Roman" w:eastAsia="楷体_GB2312" w:cs="Times New Roman"/>
          <w:kern w:val="0"/>
          <w:sz w:val="32"/>
          <w:szCs w:val="32"/>
        </w:rPr>
        <w:t>提升司法程序效能。</w:t>
      </w:r>
      <w:r>
        <w:rPr>
          <w:rFonts w:ascii="Times New Roman" w:hAnsi="Times New Roman" w:eastAsia="仿宋_GB2312" w:cs="Times New Roman"/>
          <w:kern w:val="0"/>
          <w:sz w:val="32"/>
          <w:szCs w:val="32"/>
        </w:rPr>
        <w:t>深入推进</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案-件比</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工作，在办案体量全市最大的情况下，</w:t>
      </w:r>
      <w:r>
        <w:rPr>
          <w:rFonts w:hint="eastAsia" w:ascii="Times New Roman" w:hAnsi="Times New Roman" w:eastAsia="仿宋_GB2312" w:cs="Times New Roman"/>
          <w:kern w:val="0"/>
          <w:sz w:val="32"/>
          <w:szCs w:val="32"/>
        </w:rPr>
        <w:t>今年目前“</w:t>
      </w:r>
      <w:r>
        <w:rPr>
          <w:rFonts w:ascii="Times New Roman" w:hAnsi="Times New Roman" w:eastAsia="仿宋_GB2312" w:cs="Times New Roman"/>
          <w:kern w:val="0"/>
          <w:sz w:val="32"/>
          <w:szCs w:val="32"/>
        </w:rPr>
        <w:t>案-件比</w:t>
      </w:r>
      <w:r>
        <w:rPr>
          <w:rFonts w:hint="eastAsia" w:ascii="Times New Roman" w:hAnsi="Times New Roman" w:eastAsia="仿宋_GB2312" w:cs="Times New Roman"/>
          <w:kern w:val="0"/>
          <w:sz w:val="32"/>
          <w:szCs w:val="32"/>
        </w:rPr>
        <w:t>”比</w:t>
      </w:r>
      <w:r>
        <w:rPr>
          <w:rFonts w:ascii="Times New Roman" w:hAnsi="Times New Roman" w:eastAsia="仿宋_GB2312" w:cs="Times New Roman"/>
          <w:kern w:val="0"/>
          <w:sz w:val="32"/>
          <w:szCs w:val="32"/>
        </w:rPr>
        <w:t>2017年度同期下降了19.</w:t>
      </w:r>
      <w:r>
        <w:rPr>
          <w:rFonts w:hint="eastAsia" w:ascii="Times New Roman" w:hAnsi="Times New Roman" w:eastAsia="仿宋_GB2312" w:cs="Times New Roman"/>
          <w:kern w:val="0"/>
          <w:sz w:val="32"/>
          <w:szCs w:val="32"/>
        </w:rPr>
        <w:t>17</w:t>
      </w:r>
      <w:r>
        <w:rPr>
          <w:rFonts w:ascii="Times New Roman" w:hAnsi="Times New Roman" w:eastAsia="仿宋_GB2312" w:cs="Times New Roman"/>
          <w:kern w:val="0"/>
          <w:sz w:val="32"/>
          <w:szCs w:val="32"/>
        </w:rPr>
        <w:t>%，有效避免程序空转和回流，减少群众诉累。全面提升认罪认罚案件整体质效，适用认罪认罚从宽制度</w:t>
      </w:r>
      <w:r>
        <w:rPr>
          <w:rFonts w:hint="eastAsia" w:ascii="Times New Roman" w:hAnsi="Times New Roman" w:eastAsia="仿宋_GB2312" w:cs="Times New Roman"/>
          <w:kern w:val="0"/>
          <w:sz w:val="32"/>
          <w:szCs w:val="32"/>
        </w:rPr>
        <w:t>办</w:t>
      </w:r>
      <w:r>
        <w:rPr>
          <w:rFonts w:ascii="Times New Roman" w:hAnsi="Times New Roman" w:eastAsia="仿宋_GB2312" w:cs="Times New Roman"/>
          <w:kern w:val="0"/>
          <w:sz w:val="32"/>
          <w:szCs w:val="32"/>
        </w:rPr>
        <w:t>结案件12212件15427人，提出量刑建议12774人，率先建立认罪认罚从宽不起诉分流机制，更好实现司法公正与效率的统一。大力推行公开听证，组织邀请人大代表、人民监督员参与公开审查和公开宣告20场，案件范围涉及不起诉、司法救助、民事诉讼监督及公益诉讼等类型，切实改善检察环节社会矛盾化解工作。</w:t>
      </w:r>
    </w:p>
    <w:p>
      <w:pPr>
        <w:pStyle w:val="5"/>
        <w:widowControl/>
        <w:pBdr>
          <w:top w:val="none" w:color="333333" w:sz="0" w:space="0"/>
          <w:left w:val="none" w:color="333333" w:sz="0" w:space="0"/>
          <w:bottom w:val="none" w:color="333333" w:sz="0" w:space="0"/>
          <w:right w:val="none" w:color="333333" w:sz="0" w:space="0"/>
        </w:pBdr>
        <w:spacing w:beforeAutospacing="0" w:afterAutospacing="0"/>
        <w:ind w:firstLine="608" w:firstLineChars="200"/>
        <w:textAlignment w:val="baseline"/>
        <w:rPr>
          <w:rFonts w:ascii="Times New Roman" w:hAnsi="Times New Roman" w:eastAsia="黑体"/>
          <w:sz w:val="32"/>
          <w:szCs w:val="32"/>
        </w:rPr>
      </w:pPr>
      <w:r>
        <w:rPr>
          <w:rFonts w:ascii="Times New Roman" w:hAnsi="黑体" w:eastAsia="黑体"/>
          <w:sz w:val="32"/>
          <w:szCs w:val="32"/>
        </w:rPr>
        <w:t>五、增强改革韧劲，</w:t>
      </w:r>
      <w:r>
        <w:rPr>
          <w:rFonts w:hint="eastAsia" w:ascii="Times New Roman" w:hAnsi="黑体" w:eastAsia="黑体"/>
          <w:sz w:val="32"/>
          <w:szCs w:val="32"/>
        </w:rPr>
        <w:t>全面</w:t>
      </w:r>
      <w:r>
        <w:rPr>
          <w:rFonts w:ascii="Times New Roman" w:hAnsi="黑体" w:eastAsia="黑体"/>
          <w:sz w:val="32"/>
          <w:szCs w:val="32"/>
        </w:rPr>
        <w:t>落实各项检察改革任务</w:t>
      </w:r>
    </w:p>
    <w:p>
      <w:pPr>
        <w:pStyle w:val="5"/>
        <w:widowControl/>
        <w:pBdr>
          <w:top w:val="none" w:color="333333" w:sz="0" w:space="0"/>
          <w:left w:val="none" w:color="333333" w:sz="0" w:space="0"/>
          <w:bottom w:val="none" w:color="333333" w:sz="0" w:space="0"/>
          <w:right w:val="none" w:color="333333" w:sz="0" w:space="0"/>
        </w:pBdr>
        <w:spacing w:beforeAutospacing="0" w:afterAutospacing="0"/>
        <w:ind w:firstLine="608" w:firstLineChars="200"/>
        <w:textAlignment w:val="baseline"/>
        <w:rPr>
          <w:rFonts w:ascii="Times New Roman" w:hAnsi="Times New Roman" w:eastAsia="楷体_GB2312"/>
          <w:sz w:val="32"/>
          <w:szCs w:val="32"/>
        </w:rPr>
      </w:pPr>
      <w:r>
        <w:rPr>
          <w:rFonts w:ascii="Times New Roman" w:hAnsi="Times New Roman" w:eastAsia="楷体_GB2312"/>
          <w:sz w:val="32"/>
          <w:szCs w:val="32"/>
        </w:rPr>
        <w:t>深化司法体制改革。</w:t>
      </w:r>
      <w:r>
        <w:rPr>
          <w:rFonts w:ascii="Times New Roman" w:hAnsi="Times New Roman" w:eastAsia="仿宋_GB2312"/>
          <w:sz w:val="32"/>
          <w:szCs w:val="32"/>
        </w:rPr>
        <w:t>率先推进人员分类管理、司法责任制、职业保障、人财物统管四项司法体制改革，主动承担重大监督事项案件化办理模式等改革试点任务，健全检察长列席审委会等制度机制，领导干部带头办案等改革经验获</w:t>
      </w:r>
      <w:r>
        <w:rPr>
          <w:rFonts w:ascii="Times New Roman" w:hAnsi="Times New Roman" w:eastAsia="仿宋_GB2312"/>
          <w:color w:val="000000"/>
          <w:sz w:val="32"/>
          <w:szCs w:val="32"/>
          <w:lang w:val="zh-CN"/>
        </w:rPr>
        <w:t>最高检推广</w:t>
      </w:r>
      <w:r>
        <w:rPr>
          <w:rFonts w:ascii="Times New Roman" w:hAnsi="Times New Roman" w:eastAsia="仿宋_GB2312"/>
          <w:sz w:val="32"/>
          <w:szCs w:val="32"/>
        </w:rPr>
        <w:t>。完成内设机构改革，构建与</w:t>
      </w:r>
      <w:r>
        <w:rPr>
          <w:rFonts w:hint="eastAsia" w:ascii="Times New Roman" w:hAnsi="Times New Roman" w:eastAsia="仿宋_GB2312"/>
          <w:sz w:val="32"/>
          <w:szCs w:val="32"/>
        </w:rPr>
        <w:t>“</w:t>
      </w:r>
      <w:r>
        <w:rPr>
          <w:rFonts w:ascii="Times New Roman" w:hAnsi="Times New Roman" w:eastAsia="仿宋_GB2312"/>
          <w:sz w:val="32"/>
          <w:szCs w:val="32"/>
        </w:rPr>
        <w:t>四大检察</w:t>
      </w:r>
      <w:r>
        <w:rPr>
          <w:rFonts w:hint="eastAsia" w:ascii="Times New Roman" w:hAnsi="Times New Roman" w:eastAsia="仿宋_GB2312"/>
          <w:sz w:val="32"/>
          <w:szCs w:val="32"/>
        </w:rPr>
        <w:t>”“</w:t>
      </w:r>
      <w:r>
        <w:rPr>
          <w:rFonts w:ascii="Times New Roman" w:hAnsi="Times New Roman" w:eastAsia="仿宋_GB2312"/>
          <w:sz w:val="32"/>
          <w:szCs w:val="32"/>
        </w:rPr>
        <w:t>十大业务</w:t>
      </w:r>
      <w:r>
        <w:rPr>
          <w:rFonts w:hint="eastAsia" w:ascii="Times New Roman" w:hAnsi="Times New Roman" w:eastAsia="仿宋_GB2312"/>
          <w:sz w:val="32"/>
          <w:szCs w:val="32"/>
        </w:rPr>
        <w:t>”</w:t>
      </w:r>
      <w:r>
        <w:rPr>
          <w:rFonts w:ascii="Times New Roman" w:hAnsi="Times New Roman" w:eastAsia="仿宋_GB2312"/>
          <w:sz w:val="32"/>
          <w:szCs w:val="32"/>
        </w:rPr>
        <w:t>法律监督格局相适应的</w:t>
      </w:r>
      <w:r>
        <w:rPr>
          <w:rFonts w:hint="eastAsia" w:ascii="Times New Roman" w:hAnsi="Times New Roman" w:eastAsia="仿宋_GB2312"/>
          <w:sz w:val="32"/>
          <w:szCs w:val="32"/>
        </w:rPr>
        <w:t>“</w:t>
      </w:r>
      <w:r>
        <w:rPr>
          <w:rFonts w:ascii="Times New Roman" w:hAnsi="Times New Roman" w:eastAsia="仿宋_GB2312"/>
          <w:sz w:val="32"/>
          <w:szCs w:val="32"/>
        </w:rPr>
        <w:t>7+3</w:t>
      </w:r>
      <w:r>
        <w:rPr>
          <w:rFonts w:hint="eastAsia" w:ascii="Times New Roman" w:hAnsi="Times New Roman" w:eastAsia="仿宋_GB2312"/>
          <w:sz w:val="32"/>
          <w:szCs w:val="32"/>
        </w:rPr>
        <w:t>”</w:t>
      </w:r>
      <w:r>
        <w:rPr>
          <w:rFonts w:ascii="Times New Roman" w:hAnsi="Times New Roman" w:eastAsia="仿宋_GB2312"/>
          <w:sz w:val="32"/>
          <w:szCs w:val="32"/>
        </w:rPr>
        <w:t>机构设置模式</w:t>
      </w:r>
      <w:r>
        <w:rPr>
          <w:rFonts w:hint="eastAsia" w:ascii="Times New Roman" w:hAnsi="Times New Roman" w:eastAsia="仿宋_GB2312"/>
          <w:sz w:val="32"/>
          <w:szCs w:val="32"/>
        </w:rPr>
        <w:t>，</w:t>
      </w:r>
      <w:r>
        <w:rPr>
          <w:rFonts w:ascii="Times New Roman" w:hAnsi="Times New Roman" w:eastAsia="仿宋_GB2312"/>
          <w:sz w:val="32"/>
          <w:szCs w:val="32"/>
        </w:rPr>
        <w:t>落实</w:t>
      </w:r>
      <w:r>
        <w:rPr>
          <w:rFonts w:hint="eastAsia" w:ascii="Times New Roman" w:hAnsi="Times New Roman" w:eastAsia="仿宋_GB2312"/>
          <w:sz w:val="32"/>
          <w:szCs w:val="32"/>
        </w:rPr>
        <w:t>“</w:t>
      </w:r>
      <w:r>
        <w:rPr>
          <w:rFonts w:ascii="Times New Roman" w:hAnsi="Times New Roman" w:eastAsia="仿宋_GB2312"/>
          <w:sz w:val="32"/>
          <w:szCs w:val="32"/>
        </w:rPr>
        <w:t>捕诉一体</w:t>
      </w:r>
      <w:r>
        <w:rPr>
          <w:rFonts w:hint="eastAsia" w:ascii="Times New Roman" w:hAnsi="Times New Roman" w:eastAsia="仿宋_GB2312"/>
          <w:sz w:val="32"/>
          <w:szCs w:val="32"/>
        </w:rPr>
        <w:t>”</w:t>
      </w:r>
      <w:r>
        <w:rPr>
          <w:rFonts w:ascii="Times New Roman" w:hAnsi="Times New Roman" w:eastAsia="仿宋_GB2312"/>
          <w:sz w:val="32"/>
          <w:szCs w:val="32"/>
        </w:rPr>
        <w:t>办案方式改革。</w:t>
      </w:r>
    </w:p>
    <w:p>
      <w:pPr>
        <w:pStyle w:val="5"/>
        <w:widowControl/>
        <w:pBdr>
          <w:top w:val="none" w:color="333333" w:sz="0" w:space="0"/>
          <w:left w:val="none" w:color="333333" w:sz="0" w:space="0"/>
          <w:bottom w:val="none" w:color="333333" w:sz="0" w:space="0"/>
          <w:right w:val="none" w:color="333333" w:sz="0" w:space="0"/>
        </w:pBdr>
        <w:spacing w:beforeAutospacing="0" w:afterAutospacing="0"/>
        <w:ind w:firstLine="608" w:firstLineChars="200"/>
        <w:textAlignment w:val="baseline"/>
        <w:rPr>
          <w:rFonts w:ascii="Times New Roman" w:hAnsi="Times New Roman" w:eastAsia="楷体_GB2312"/>
          <w:sz w:val="32"/>
          <w:szCs w:val="32"/>
        </w:rPr>
      </w:pPr>
      <w:r>
        <w:rPr>
          <w:rFonts w:ascii="Times New Roman" w:hAnsi="Times New Roman" w:eastAsia="楷体_GB2312"/>
          <w:sz w:val="32"/>
          <w:szCs w:val="32"/>
        </w:rPr>
        <w:t>推动司法办案规范化。</w:t>
      </w:r>
      <w:r>
        <w:rPr>
          <w:rFonts w:ascii="Times New Roman" w:hAnsi="Times New Roman" w:eastAsia="仿宋_GB2312"/>
          <w:sz w:val="32"/>
          <w:szCs w:val="32"/>
        </w:rPr>
        <w:t>强化检委会审查把关作用，研讨重大疑难复杂案件368件，改变承办人意见58件。融合开展案件流程监控、质量评查、检察业绩考评</w:t>
      </w:r>
      <w:r>
        <w:rPr>
          <w:rFonts w:hint="eastAsia" w:ascii="Times New Roman" w:hAnsi="Times New Roman" w:eastAsia="仿宋_GB2312"/>
          <w:sz w:val="32"/>
          <w:szCs w:val="32"/>
        </w:rPr>
        <w:t>和</w:t>
      </w:r>
      <w:r>
        <w:rPr>
          <w:rFonts w:ascii="Times New Roman" w:hAnsi="Times New Roman" w:eastAsia="仿宋_GB2312"/>
          <w:sz w:val="32"/>
          <w:szCs w:val="32"/>
        </w:rPr>
        <w:t>数据分析研判等工作，定期编发法律文书质量监督等情况通报，制定检察官业绩考评指标及计分规则，累计组织评查案件13次1609件</w:t>
      </w:r>
      <w:r>
        <w:rPr>
          <w:rFonts w:hint="eastAsia" w:ascii="Times New Roman" w:hAnsi="Times New Roman" w:eastAsia="仿宋_GB2312"/>
          <w:sz w:val="32"/>
          <w:szCs w:val="32"/>
        </w:rPr>
        <w:t>，</w:t>
      </w:r>
      <w:r>
        <w:rPr>
          <w:rFonts w:ascii="Times New Roman" w:hAnsi="Times New Roman" w:eastAsia="仿宋_GB2312"/>
          <w:sz w:val="32"/>
          <w:szCs w:val="32"/>
        </w:rPr>
        <w:t>组织数据分析研判会商55次。全面贯彻落实</w:t>
      </w:r>
      <w:r>
        <w:rPr>
          <w:rFonts w:hint="eastAsia" w:ascii="Times New Roman" w:hAnsi="Times New Roman" w:eastAsia="仿宋_GB2312"/>
          <w:sz w:val="32"/>
          <w:szCs w:val="32"/>
        </w:rPr>
        <w:t>“</w:t>
      </w:r>
      <w:r>
        <w:rPr>
          <w:rFonts w:ascii="Times New Roman" w:hAnsi="Times New Roman" w:eastAsia="仿宋_GB2312"/>
          <w:sz w:val="32"/>
          <w:szCs w:val="32"/>
        </w:rPr>
        <w:t>三个规定</w:t>
      </w:r>
      <w:r>
        <w:rPr>
          <w:rFonts w:hint="eastAsia" w:ascii="Times New Roman" w:hAnsi="Times New Roman" w:eastAsia="仿宋_GB2312"/>
          <w:sz w:val="32"/>
          <w:szCs w:val="32"/>
        </w:rPr>
        <w:t>”</w:t>
      </w:r>
      <w:r>
        <w:rPr>
          <w:rFonts w:ascii="Times New Roman" w:hAnsi="Times New Roman" w:eastAsia="仿宋_GB2312"/>
          <w:sz w:val="32"/>
          <w:szCs w:val="32"/>
        </w:rPr>
        <w:t>和</w:t>
      </w:r>
      <w:r>
        <w:rPr>
          <w:rFonts w:hint="eastAsia" w:ascii="Times New Roman" w:hAnsi="Times New Roman" w:eastAsia="仿宋_GB2312"/>
          <w:sz w:val="32"/>
          <w:szCs w:val="32"/>
        </w:rPr>
        <w:t>“</w:t>
      </w:r>
      <w:r>
        <w:rPr>
          <w:rFonts w:ascii="Times New Roman" w:hAnsi="Times New Roman" w:eastAsia="仿宋_GB2312"/>
          <w:sz w:val="32"/>
          <w:szCs w:val="32"/>
        </w:rPr>
        <w:t>重大事项</w:t>
      </w:r>
      <w:r>
        <w:rPr>
          <w:rFonts w:hint="eastAsia" w:ascii="Times New Roman" w:hAnsi="Times New Roman" w:eastAsia="仿宋_GB2312"/>
          <w:sz w:val="32"/>
          <w:szCs w:val="32"/>
        </w:rPr>
        <w:t>”</w:t>
      </w:r>
      <w:r>
        <w:rPr>
          <w:rFonts w:ascii="Times New Roman" w:hAnsi="Times New Roman" w:eastAsia="仿宋_GB2312"/>
          <w:sz w:val="32"/>
          <w:szCs w:val="32"/>
        </w:rPr>
        <w:t>记录报告制度，累计报送过问或干预插手检察办案等重大事项记录44条，筑牢防范人情案、关系案、金钱案的制度堤坝。</w:t>
      </w:r>
    </w:p>
    <w:p>
      <w:pPr>
        <w:pStyle w:val="5"/>
        <w:widowControl/>
        <w:pBdr>
          <w:top w:val="none" w:color="333333" w:sz="0" w:space="0"/>
          <w:left w:val="none" w:color="333333" w:sz="0" w:space="0"/>
          <w:bottom w:val="none" w:color="333333" w:sz="0" w:space="0"/>
          <w:right w:val="none" w:color="333333" w:sz="0" w:space="0"/>
        </w:pBdr>
        <w:spacing w:beforeAutospacing="0" w:afterAutospacing="0"/>
        <w:ind w:firstLine="608" w:firstLineChars="200"/>
        <w:textAlignment w:val="baseline"/>
        <w:rPr>
          <w:rFonts w:ascii="Times New Roman" w:hAnsi="Times New Roman" w:eastAsia="楷体_GB2312"/>
          <w:sz w:val="32"/>
          <w:szCs w:val="32"/>
        </w:rPr>
      </w:pPr>
      <w:r>
        <w:rPr>
          <w:rFonts w:ascii="Times New Roman" w:hAnsi="Times New Roman" w:eastAsia="楷体_GB2312"/>
          <w:sz w:val="32"/>
          <w:szCs w:val="32"/>
        </w:rPr>
        <w:t>配合监察体制改革。</w:t>
      </w:r>
      <w:r>
        <w:rPr>
          <w:rFonts w:ascii="Times New Roman" w:hAnsi="Times New Roman" w:eastAsia="仿宋_GB2312"/>
          <w:sz w:val="32"/>
          <w:szCs w:val="32"/>
        </w:rPr>
        <w:t>坚决拥护、全力支持配合国家监察体制改革，顺利完成反贪、反渎和预防部门职能、机构、人员、装备、案件及线索转隶。加强检察机关与监察机关办案衔接和配合制约，健全衔接顺畅、权威</w:t>
      </w:r>
      <w:r>
        <w:rPr>
          <w:rFonts w:hint="eastAsia" w:ascii="Times New Roman" w:hAnsi="Times New Roman" w:eastAsia="仿宋_GB2312"/>
          <w:sz w:val="32"/>
          <w:szCs w:val="32"/>
        </w:rPr>
        <w:t>高</w:t>
      </w:r>
      <w:r>
        <w:rPr>
          <w:rFonts w:ascii="Times New Roman" w:hAnsi="Times New Roman" w:eastAsia="仿宋_GB2312"/>
          <w:sz w:val="32"/>
          <w:szCs w:val="32"/>
        </w:rPr>
        <w:t>效的工作机制，就提前介入、案件受理流转、适用强制措施</w:t>
      </w:r>
      <w:r>
        <w:rPr>
          <w:rFonts w:hint="eastAsia" w:ascii="Times New Roman" w:hAnsi="Times New Roman" w:eastAsia="仿宋_GB2312"/>
          <w:sz w:val="32"/>
          <w:szCs w:val="32"/>
        </w:rPr>
        <w:t>、证据标准</w:t>
      </w:r>
      <w:r>
        <w:rPr>
          <w:rFonts w:ascii="Times New Roman" w:hAnsi="Times New Roman" w:eastAsia="仿宋_GB2312"/>
          <w:sz w:val="32"/>
          <w:szCs w:val="32"/>
        </w:rPr>
        <w:t>等工作与区监察委员会建立规范性模式。共受理监察机关移送职务犯罪案件62件65人</w:t>
      </w:r>
      <w:r>
        <w:rPr>
          <w:rFonts w:hint="eastAsia" w:ascii="Times New Roman" w:hAnsi="Times New Roman" w:eastAsia="仿宋_GB2312"/>
          <w:sz w:val="32"/>
          <w:szCs w:val="32"/>
        </w:rPr>
        <w:t>、</w:t>
      </w:r>
      <w:r>
        <w:rPr>
          <w:rFonts w:ascii="Times New Roman" w:hAnsi="Times New Roman" w:eastAsia="仿宋_GB2312"/>
          <w:sz w:val="32"/>
          <w:szCs w:val="32"/>
        </w:rPr>
        <w:t>起诉48件51人，办理广东省首宗适用监察法、广州市首宗采取留置措施案件。</w:t>
      </w:r>
    </w:p>
    <w:p>
      <w:pPr>
        <w:ind w:firstLine="608" w:firstLineChars="200"/>
        <w:rPr>
          <w:rFonts w:ascii="Times New Roman" w:hAnsi="Times New Roman" w:eastAsia="楷体_GB2312" w:cs="Times New Roman"/>
          <w:kern w:val="0"/>
          <w:sz w:val="32"/>
          <w:szCs w:val="32"/>
        </w:rPr>
      </w:pPr>
      <w:r>
        <w:rPr>
          <w:rFonts w:ascii="Times New Roman" w:hAnsi="Times New Roman" w:eastAsia="楷体_GB2312" w:cs="Times New Roman"/>
          <w:sz w:val="32"/>
          <w:szCs w:val="32"/>
        </w:rPr>
        <w:t>推进智慧检务建设。</w:t>
      </w:r>
      <w:r>
        <w:rPr>
          <w:rFonts w:ascii="Times New Roman" w:hAnsi="Times New Roman" w:eastAsia="仿宋_GB2312" w:cs="Times New Roman"/>
          <w:sz w:val="32"/>
          <w:szCs w:val="32"/>
        </w:rPr>
        <w:t>推动远程视频庭审提审、检察听证系统建设，使用远程视频提审犯罪嫌疑人17560人次</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联合参与省检技术性证据审查平台的研发、建设、测试和使用</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常态化开展法医文证审查，文审量居全省基层院首位。完成机房改造、办公场所综合布线等硬件升级，制定检察文书智能校对、视听材料智能审查、智慧出庭助手等业务辅助系统方案，</w:t>
      </w:r>
      <w:r>
        <w:rPr>
          <w:rFonts w:hint="eastAsia" w:ascii="Times New Roman" w:hAnsi="Times New Roman" w:eastAsia="仿宋_GB2312" w:cs="Times New Roman"/>
          <w:sz w:val="32"/>
          <w:szCs w:val="32"/>
        </w:rPr>
        <w:t>为检察工作插上“科技翅膀”</w:t>
      </w:r>
      <w:r>
        <w:rPr>
          <w:rFonts w:ascii="Times New Roman" w:hAnsi="Times New Roman" w:eastAsia="仿宋_GB2312" w:cs="Times New Roman"/>
          <w:sz w:val="32"/>
          <w:szCs w:val="32"/>
        </w:rPr>
        <w:t>。</w:t>
      </w:r>
    </w:p>
    <w:p>
      <w:pPr>
        <w:pStyle w:val="5"/>
        <w:widowControl/>
        <w:pBdr>
          <w:top w:val="none" w:color="333333" w:sz="0" w:space="0"/>
          <w:left w:val="none" w:color="333333" w:sz="0" w:space="0"/>
          <w:bottom w:val="none" w:color="333333" w:sz="0" w:space="0"/>
          <w:right w:val="none" w:color="333333" w:sz="0" w:space="9"/>
        </w:pBdr>
        <w:spacing w:beforeAutospacing="0" w:afterAutospacing="0"/>
        <w:ind w:firstLine="608" w:firstLineChars="200"/>
        <w:textAlignment w:val="baseline"/>
        <w:rPr>
          <w:rFonts w:ascii="Times New Roman" w:hAnsi="Times New Roman" w:eastAsia="黑体"/>
          <w:sz w:val="32"/>
          <w:szCs w:val="32"/>
        </w:rPr>
      </w:pPr>
      <w:r>
        <w:rPr>
          <w:rFonts w:ascii="Times New Roman" w:hAnsi="黑体" w:eastAsia="黑体"/>
          <w:sz w:val="32"/>
          <w:szCs w:val="32"/>
        </w:rPr>
        <w:t>六、夯实发展根基，持续打造过硬检察铁军</w:t>
      </w:r>
    </w:p>
    <w:p>
      <w:pPr>
        <w:pStyle w:val="5"/>
        <w:widowControl/>
        <w:pBdr>
          <w:top w:val="none" w:color="333333" w:sz="0" w:space="0"/>
          <w:left w:val="none" w:color="333333" w:sz="0" w:space="0"/>
          <w:bottom w:val="none" w:color="333333" w:sz="0" w:space="0"/>
          <w:right w:val="none" w:color="333333" w:sz="0" w:space="9"/>
        </w:pBdr>
        <w:spacing w:beforeAutospacing="0" w:afterAutospacing="0"/>
        <w:ind w:firstLine="608" w:firstLineChars="200"/>
        <w:textAlignment w:val="baseline"/>
        <w:rPr>
          <w:rFonts w:ascii="Times New Roman" w:hAnsi="Times New Roman" w:eastAsia="仿宋_GB2312"/>
          <w:kern w:val="2"/>
          <w:sz w:val="32"/>
          <w:szCs w:val="32"/>
        </w:rPr>
      </w:pPr>
      <w:r>
        <w:rPr>
          <w:rFonts w:ascii="Times New Roman" w:hAnsi="Times New Roman" w:eastAsia="楷体_GB2312"/>
          <w:sz w:val="32"/>
          <w:szCs w:val="32"/>
        </w:rPr>
        <w:t>突出强调政治建设。</w:t>
      </w:r>
      <w:r>
        <w:rPr>
          <w:rFonts w:ascii="Times New Roman" w:hAnsi="Times New Roman" w:eastAsia="仿宋_GB2312"/>
          <w:kern w:val="2"/>
          <w:sz w:val="32"/>
          <w:szCs w:val="32"/>
        </w:rPr>
        <w:t>深入推进</w:t>
      </w:r>
      <w:r>
        <w:rPr>
          <w:rFonts w:hint="eastAsia" w:ascii="Times New Roman" w:hAnsi="Times New Roman" w:eastAsia="仿宋_GB2312"/>
          <w:kern w:val="2"/>
          <w:sz w:val="32"/>
          <w:szCs w:val="32"/>
        </w:rPr>
        <w:t>“</w:t>
      </w:r>
      <w:r>
        <w:rPr>
          <w:rFonts w:ascii="Times New Roman" w:hAnsi="Times New Roman" w:eastAsia="仿宋_GB2312"/>
          <w:kern w:val="2"/>
          <w:sz w:val="32"/>
          <w:szCs w:val="32"/>
        </w:rPr>
        <w:t>三严三实</w:t>
      </w:r>
      <w:r>
        <w:rPr>
          <w:rFonts w:hint="eastAsia" w:ascii="Times New Roman" w:hAnsi="Times New Roman" w:eastAsia="仿宋_GB2312"/>
          <w:kern w:val="2"/>
          <w:sz w:val="32"/>
          <w:szCs w:val="32"/>
        </w:rPr>
        <w:t>”“</w:t>
      </w:r>
      <w:r>
        <w:rPr>
          <w:rFonts w:ascii="Times New Roman" w:hAnsi="Times New Roman" w:eastAsia="仿宋_GB2312"/>
          <w:kern w:val="2"/>
          <w:sz w:val="32"/>
          <w:szCs w:val="32"/>
        </w:rPr>
        <w:t>两学一做</w:t>
      </w:r>
      <w:r>
        <w:rPr>
          <w:rFonts w:hint="eastAsia" w:ascii="Times New Roman" w:hAnsi="Times New Roman" w:eastAsia="仿宋_GB2312"/>
          <w:kern w:val="2"/>
          <w:sz w:val="32"/>
          <w:szCs w:val="32"/>
        </w:rPr>
        <w:t>”“</w:t>
      </w:r>
      <w:r>
        <w:rPr>
          <w:rFonts w:ascii="Times New Roman" w:hAnsi="Times New Roman" w:eastAsia="仿宋_GB2312"/>
          <w:kern w:val="2"/>
          <w:sz w:val="32"/>
          <w:szCs w:val="32"/>
        </w:rPr>
        <w:t>不忘初心、牢记使命</w:t>
      </w:r>
      <w:r>
        <w:rPr>
          <w:rFonts w:hint="eastAsia" w:ascii="Times New Roman" w:hAnsi="Times New Roman" w:eastAsia="仿宋_GB2312"/>
          <w:kern w:val="2"/>
          <w:sz w:val="32"/>
          <w:szCs w:val="32"/>
        </w:rPr>
        <w:t>”</w:t>
      </w:r>
      <w:r>
        <w:rPr>
          <w:rFonts w:ascii="Times New Roman" w:hAnsi="Times New Roman" w:eastAsia="仿宋_GB2312"/>
          <w:kern w:val="2"/>
          <w:sz w:val="32"/>
          <w:szCs w:val="32"/>
        </w:rPr>
        <w:t>等主题教育，扎实开展党史学习教育和政法队伍教育整顿，组织召开各类专题学习会、专项推进会256次，开展</w:t>
      </w:r>
      <w:r>
        <w:rPr>
          <w:rFonts w:ascii="Times New Roman" w:hAnsi="仿宋_GB2312" w:eastAsia="仿宋_GB2312"/>
          <w:sz w:val="32"/>
          <w:szCs w:val="32"/>
        </w:rPr>
        <w:t>自查自纠</w:t>
      </w:r>
      <w:r>
        <w:rPr>
          <w:rFonts w:ascii="Times New Roman" w:hAnsi="Times New Roman" w:eastAsia="仿宋_GB2312"/>
          <w:kern w:val="2"/>
          <w:sz w:val="32"/>
          <w:szCs w:val="32"/>
        </w:rPr>
        <w:t>409</w:t>
      </w:r>
      <w:r>
        <w:rPr>
          <w:rFonts w:ascii="Times New Roman" w:hAnsi="仿宋_GB2312" w:eastAsia="仿宋_GB2312"/>
          <w:sz w:val="32"/>
          <w:szCs w:val="32"/>
        </w:rPr>
        <w:t>人次，</w:t>
      </w:r>
      <w:r>
        <w:rPr>
          <w:rFonts w:ascii="Times New Roman" w:hAnsi="Times New Roman" w:eastAsia="仿宋_GB2312"/>
          <w:kern w:val="2"/>
          <w:sz w:val="32"/>
          <w:szCs w:val="32"/>
        </w:rPr>
        <w:t>确保检察工作正确方向。全面落实市委和市检的巡察反馈意见，制定并落实92个方面330项措施，有效遏制问题反弹回潮。持续深化党风廉政和纪律作风建设，健全内控制度与岗位风险防控机制，强化对权力运行的监督，共开展谈话161人次，给予处分1人次。</w:t>
      </w:r>
    </w:p>
    <w:p>
      <w:pPr>
        <w:pStyle w:val="5"/>
        <w:widowControl/>
        <w:pBdr>
          <w:top w:val="none" w:color="333333" w:sz="0" w:space="0"/>
          <w:left w:val="none" w:color="333333" w:sz="0" w:space="0"/>
          <w:bottom w:val="none" w:color="333333" w:sz="0" w:space="0"/>
          <w:right w:val="none" w:color="333333" w:sz="0" w:space="9"/>
        </w:pBdr>
        <w:spacing w:beforeAutospacing="0" w:afterAutospacing="0"/>
        <w:ind w:firstLine="608" w:firstLineChars="200"/>
        <w:textAlignment w:val="baseline"/>
        <w:rPr>
          <w:rFonts w:ascii="Times New Roman" w:hAnsi="Times New Roman" w:eastAsia="仿宋_GB2312"/>
          <w:color w:val="000000"/>
          <w:sz w:val="32"/>
          <w:szCs w:val="32"/>
          <w:lang w:val="zh-CN"/>
        </w:rPr>
      </w:pPr>
      <w:r>
        <w:rPr>
          <w:rFonts w:ascii="Times New Roman" w:hAnsi="Times New Roman" w:eastAsia="楷体_GB2312"/>
          <w:color w:val="000000"/>
          <w:sz w:val="32"/>
          <w:szCs w:val="32"/>
          <w:lang w:val="zh-CN"/>
        </w:rPr>
        <w:t>注重强化素能建设。</w:t>
      </w:r>
      <w:r>
        <w:rPr>
          <w:rFonts w:ascii="Times New Roman" w:hAnsi="Times New Roman" w:eastAsia="仿宋_GB2312"/>
          <w:kern w:val="2"/>
          <w:sz w:val="32"/>
          <w:szCs w:val="32"/>
        </w:rPr>
        <w:t>积极开展</w:t>
      </w:r>
      <w:r>
        <w:rPr>
          <w:rFonts w:hint="eastAsia" w:ascii="Times New Roman" w:hAnsi="Times New Roman" w:eastAsia="仿宋_GB2312"/>
          <w:kern w:val="2"/>
          <w:sz w:val="32"/>
          <w:szCs w:val="32"/>
        </w:rPr>
        <w:t>“</w:t>
      </w:r>
      <w:r>
        <w:rPr>
          <w:rFonts w:ascii="Times New Roman" w:hAnsi="Times New Roman" w:eastAsia="仿宋_GB2312"/>
          <w:kern w:val="2"/>
          <w:sz w:val="32"/>
          <w:szCs w:val="32"/>
        </w:rPr>
        <w:t>五好</w:t>
      </w:r>
      <w:r>
        <w:rPr>
          <w:rFonts w:hint="eastAsia" w:ascii="Times New Roman" w:hAnsi="Times New Roman" w:eastAsia="仿宋_GB2312"/>
          <w:kern w:val="2"/>
          <w:sz w:val="32"/>
          <w:szCs w:val="32"/>
        </w:rPr>
        <w:t>”</w:t>
      </w:r>
      <w:r>
        <w:rPr>
          <w:rFonts w:ascii="Times New Roman" w:hAnsi="Times New Roman" w:eastAsia="仿宋_GB2312"/>
          <w:kern w:val="2"/>
          <w:sz w:val="32"/>
          <w:szCs w:val="32"/>
        </w:rPr>
        <w:t>基层检察院、</w:t>
      </w:r>
      <w:r>
        <w:rPr>
          <w:rFonts w:hint="eastAsia" w:ascii="Times New Roman" w:hAnsi="Times New Roman" w:eastAsia="仿宋_GB2312"/>
          <w:kern w:val="2"/>
          <w:sz w:val="32"/>
          <w:szCs w:val="32"/>
        </w:rPr>
        <w:t>“</w:t>
      </w:r>
      <w:r>
        <w:rPr>
          <w:rFonts w:ascii="Times New Roman" w:hAnsi="Times New Roman" w:eastAsia="仿宋_GB2312"/>
          <w:kern w:val="2"/>
          <w:sz w:val="32"/>
          <w:szCs w:val="32"/>
        </w:rPr>
        <w:t>一院两品</w:t>
      </w:r>
      <w:r>
        <w:rPr>
          <w:rFonts w:hint="eastAsia" w:ascii="Times New Roman" w:hAnsi="Times New Roman" w:eastAsia="仿宋_GB2312"/>
          <w:kern w:val="2"/>
          <w:sz w:val="32"/>
          <w:szCs w:val="32"/>
        </w:rPr>
        <w:t>”</w:t>
      </w:r>
      <w:r>
        <w:rPr>
          <w:rFonts w:ascii="Times New Roman" w:hAnsi="Times New Roman" w:eastAsia="仿宋_GB2312"/>
          <w:kern w:val="2"/>
          <w:sz w:val="32"/>
          <w:szCs w:val="32"/>
        </w:rPr>
        <w:t>建设，有力营造争先创优、比学赶超的良好氛围。全面实施人才强检战略，通过开展</w:t>
      </w:r>
      <w:r>
        <w:rPr>
          <w:rFonts w:hint="eastAsia" w:ascii="Times New Roman" w:hAnsi="Times New Roman" w:eastAsia="仿宋_GB2312"/>
          <w:kern w:val="2"/>
          <w:sz w:val="32"/>
          <w:szCs w:val="32"/>
        </w:rPr>
        <w:t>“</w:t>
      </w:r>
      <w:r>
        <w:rPr>
          <w:rFonts w:ascii="Times New Roman" w:hAnsi="Times New Roman" w:eastAsia="仿宋_GB2312"/>
          <w:kern w:val="2"/>
          <w:sz w:val="32"/>
          <w:szCs w:val="32"/>
        </w:rPr>
        <w:t>STG</w:t>
      </w:r>
      <w:r>
        <w:rPr>
          <w:rFonts w:hint="eastAsia" w:ascii="Times New Roman" w:hAnsi="Times New Roman" w:eastAsia="仿宋_GB2312"/>
          <w:kern w:val="2"/>
          <w:sz w:val="32"/>
          <w:szCs w:val="32"/>
        </w:rPr>
        <w:t>”</w:t>
      </w:r>
      <w:r>
        <w:rPr>
          <w:rFonts w:ascii="Times New Roman" w:hAnsi="Times New Roman" w:eastAsia="仿宋_GB2312"/>
          <w:kern w:val="2"/>
          <w:sz w:val="32"/>
          <w:szCs w:val="32"/>
        </w:rPr>
        <w:t>特训、实施青年检察官</w:t>
      </w:r>
      <w:r>
        <w:rPr>
          <w:rFonts w:hint="eastAsia" w:ascii="Times New Roman" w:hAnsi="Times New Roman" w:eastAsia="仿宋_GB2312"/>
          <w:kern w:val="2"/>
          <w:sz w:val="32"/>
          <w:szCs w:val="32"/>
        </w:rPr>
        <w:t>“</w:t>
      </w:r>
      <w:r>
        <w:rPr>
          <w:rFonts w:ascii="Times New Roman" w:hAnsi="Times New Roman" w:eastAsia="仿宋_GB2312"/>
          <w:kern w:val="2"/>
          <w:sz w:val="32"/>
          <w:szCs w:val="32"/>
        </w:rPr>
        <w:t>双导师</w:t>
      </w:r>
      <w:r>
        <w:rPr>
          <w:rFonts w:hint="eastAsia" w:ascii="Times New Roman" w:hAnsi="Times New Roman" w:eastAsia="仿宋_GB2312"/>
          <w:kern w:val="2"/>
          <w:sz w:val="32"/>
          <w:szCs w:val="32"/>
        </w:rPr>
        <w:t>”</w:t>
      </w:r>
      <w:r>
        <w:rPr>
          <w:rFonts w:ascii="Times New Roman" w:hAnsi="Times New Roman" w:eastAsia="仿宋_GB2312"/>
          <w:kern w:val="2"/>
          <w:sz w:val="32"/>
          <w:szCs w:val="32"/>
        </w:rPr>
        <w:t>培养成长计划、承担重大疑难复杂案件和重大研究课题等方式，提升队伍专业化、职业化、正规化水平。五年来，共有127个集体和个人获得市以上表彰，获全国、省级荣誉表彰28个，获评全国、全省、全市检察业务</w:t>
      </w:r>
      <w:r>
        <w:rPr>
          <w:rFonts w:hint="eastAsia" w:ascii="Times New Roman" w:hAnsi="Times New Roman" w:eastAsia="仿宋_GB2312"/>
          <w:kern w:val="2"/>
          <w:sz w:val="32"/>
          <w:szCs w:val="32"/>
        </w:rPr>
        <w:t>“</w:t>
      </w:r>
      <w:r>
        <w:rPr>
          <w:rFonts w:ascii="Times New Roman" w:hAnsi="Times New Roman" w:eastAsia="仿宋_GB2312"/>
          <w:kern w:val="2"/>
          <w:sz w:val="32"/>
          <w:szCs w:val="32"/>
        </w:rPr>
        <w:t>标兵</w:t>
      </w:r>
      <w:r>
        <w:rPr>
          <w:rFonts w:hint="eastAsia" w:ascii="Times New Roman" w:hAnsi="Times New Roman" w:eastAsia="仿宋_GB2312"/>
          <w:kern w:val="2"/>
          <w:sz w:val="32"/>
          <w:szCs w:val="32"/>
        </w:rPr>
        <w:t>”“</w:t>
      </w:r>
      <w:r>
        <w:rPr>
          <w:rFonts w:ascii="Times New Roman" w:hAnsi="Times New Roman" w:eastAsia="仿宋_GB2312"/>
          <w:kern w:val="2"/>
          <w:sz w:val="32"/>
          <w:szCs w:val="32"/>
        </w:rPr>
        <w:t>能手</w:t>
      </w:r>
      <w:r>
        <w:rPr>
          <w:rFonts w:hint="eastAsia" w:ascii="Times New Roman" w:hAnsi="Times New Roman" w:eastAsia="仿宋_GB2312"/>
          <w:kern w:val="2"/>
          <w:sz w:val="32"/>
          <w:szCs w:val="32"/>
        </w:rPr>
        <w:t>”</w:t>
      </w:r>
      <w:r>
        <w:rPr>
          <w:rFonts w:ascii="Times New Roman" w:hAnsi="Times New Roman" w:eastAsia="仿宋_GB2312"/>
          <w:kern w:val="2"/>
          <w:sz w:val="32"/>
          <w:szCs w:val="32"/>
        </w:rPr>
        <w:t>13人次，办理的13件案件被最高检、省检、市检评为指导性案例、典型案例、精品案例。</w:t>
      </w:r>
    </w:p>
    <w:p>
      <w:pPr>
        <w:pStyle w:val="5"/>
        <w:widowControl/>
        <w:pBdr>
          <w:top w:val="none" w:color="333333" w:sz="0" w:space="0"/>
          <w:left w:val="none" w:color="333333" w:sz="0" w:space="0"/>
          <w:bottom w:val="none" w:color="333333" w:sz="0" w:space="0"/>
          <w:right w:val="none" w:color="333333" w:sz="0" w:space="9"/>
        </w:pBdr>
        <w:spacing w:beforeAutospacing="0" w:afterAutospacing="0"/>
        <w:ind w:firstLine="608" w:firstLineChars="200"/>
        <w:textAlignment w:val="baseline"/>
        <w:rPr>
          <w:rFonts w:ascii="Times New Roman" w:hAnsi="Times New Roman" w:eastAsia="华文中宋"/>
          <w:sz w:val="32"/>
          <w:szCs w:val="18"/>
        </w:rPr>
      </w:pPr>
      <w:r>
        <w:rPr>
          <w:rFonts w:ascii="Times New Roman" w:hAnsi="Times New Roman" w:eastAsia="楷体_GB2312"/>
          <w:color w:val="000000"/>
          <w:sz w:val="32"/>
          <w:szCs w:val="32"/>
          <w:lang w:val="zh-CN"/>
        </w:rPr>
        <w:t>自觉接受外部监督。</w:t>
      </w:r>
      <w:r>
        <w:rPr>
          <w:rFonts w:ascii="Times New Roman" w:hAnsi="Times New Roman" w:eastAsia="仿宋_GB2312"/>
          <w:kern w:val="2"/>
          <w:sz w:val="32"/>
          <w:szCs w:val="32"/>
        </w:rPr>
        <w:t>创新人大代表联络机制，由院领导负责包干街镇、中层以上领导干部负责直接联系，定期走访、征询代表意见，认真办理、及时反馈代表建议。主动向人大报告、政协通报工作，邀请代表、委员参加检察开放日等活动217人次，推送反映我院工作情况的《手机报》155期。依法保障律师执业权利，认真听取律师意见，完善案件信息查询、材料递交、电话网络咨询等辩护代理业务，共提供律师阅卷、律师接待等业务服务26048人次，构建规范有序的检律关系。持续加大检务公开力度，公开案件程序性信息31281条、法律文书17132份、重要案件信息3306件，均居全市第一，率先实施的法律文书</w:t>
      </w:r>
      <w:r>
        <w:rPr>
          <w:rFonts w:hint="eastAsia" w:ascii="Times New Roman" w:hAnsi="Times New Roman" w:eastAsia="仿宋_GB2312"/>
          <w:kern w:val="2"/>
          <w:sz w:val="32"/>
          <w:szCs w:val="32"/>
        </w:rPr>
        <w:t>“</w:t>
      </w:r>
      <w:r>
        <w:rPr>
          <w:rFonts w:ascii="Times New Roman" w:hAnsi="Times New Roman" w:eastAsia="仿宋_GB2312"/>
          <w:kern w:val="2"/>
          <w:sz w:val="32"/>
          <w:szCs w:val="32"/>
        </w:rPr>
        <w:t>反向公开</w:t>
      </w:r>
      <w:r>
        <w:rPr>
          <w:rFonts w:hint="eastAsia" w:ascii="Times New Roman" w:hAnsi="Times New Roman" w:eastAsia="仿宋_GB2312"/>
          <w:kern w:val="2"/>
          <w:sz w:val="32"/>
          <w:szCs w:val="32"/>
        </w:rPr>
        <w:t>”</w:t>
      </w:r>
      <w:r>
        <w:rPr>
          <w:rFonts w:ascii="Times New Roman" w:hAnsi="Times New Roman" w:eastAsia="仿宋_GB2312"/>
          <w:kern w:val="2"/>
          <w:sz w:val="32"/>
          <w:szCs w:val="32"/>
        </w:rPr>
        <w:t>机制，作为广州市检察机关案件信息公开工作机制改革措施之一在全市推行。</w:t>
      </w:r>
    </w:p>
    <w:p>
      <w:pPr>
        <w:pStyle w:val="5"/>
        <w:widowControl/>
        <w:pBdr>
          <w:top w:val="none" w:color="333333" w:sz="0" w:space="0"/>
          <w:left w:val="none" w:color="333333" w:sz="0" w:space="0"/>
          <w:bottom w:val="none" w:color="333333" w:sz="0" w:space="0"/>
          <w:right w:val="none" w:color="333333" w:sz="0" w:space="9"/>
        </w:pBdr>
        <w:spacing w:beforeAutospacing="0" w:afterAutospacing="0"/>
        <w:ind w:firstLine="608" w:firstLineChars="200"/>
        <w:textAlignment w:val="baseline"/>
        <w:rPr>
          <w:rFonts w:ascii="Times New Roman" w:hAnsi="Times New Roman" w:eastAsia="仿宋_GB2312"/>
          <w:color w:val="000000"/>
          <w:sz w:val="32"/>
          <w:szCs w:val="32"/>
          <w:lang w:val="zh-CN"/>
        </w:rPr>
      </w:pPr>
      <w:r>
        <w:rPr>
          <w:rFonts w:ascii="Times New Roman" w:hAnsi="Times New Roman" w:eastAsia="仿宋_GB2312"/>
          <w:color w:val="000000"/>
          <w:sz w:val="32"/>
          <w:szCs w:val="32"/>
          <w:lang w:val="zh-CN"/>
        </w:rPr>
        <w:t>各位代表，过去五年，检察工作的长足发展和进步，离不开</w:t>
      </w:r>
      <w:r>
        <w:rPr>
          <w:rFonts w:ascii="Times New Roman" w:hAnsi="Times New Roman" w:eastAsia="仿宋_GB2312"/>
          <w:sz w:val="32"/>
          <w:szCs w:val="32"/>
        </w:rPr>
        <w:t>区委坚强领导，区人大有力监督，区政府、区政协</w:t>
      </w:r>
      <w:r>
        <w:rPr>
          <w:rFonts w:hint="eastAsia" w:ascii="Times New Roman" w:hAnsi="Times New Roman" w:eastAsia="仿宋_GB2312"/>
          <w:sz w:val="32"/>
          <w:szCs w:val="32"/>
        </w:rPr>
        <w:t>和</w:t>
      </w:r>
      <w:r>
        <w:rPr>
          <w:rFonts w:ascii="Times New Roman" w:hAnsi="Times New Roman" w:eastAsia="仿宋_GB2312"/>
          <w:color w:val="000000"/>
          <w:sz w:val="32"/>
          <w:szCs w:val="32"/>
          <w:lang w:val="zh-CN"/>
        </w:rPr>
        <w:t>社会各界</w:t>
      </w:r>
      <w:r>
        <w:rPr>
          <w:rFonts w:hint="eastAsia" w:ascii="Times New Roman" w:hAnsi="Times New Roman" w:eastAsia="仿宋_GB2312"/>
          <w:color w:val="000000"/>
          <w:sz w:val="32"/>
          <w:szCs w:val="32"/>
          <w:lang w:val="zh-CN"/>
        </w:rPr>
        <w:t>的</w:t>
      </w:r>
      <w:r>
        <w:rPr>
          <w:rFonts w:ascii="Times New Roman" w:hAnsi="Times New Roman" w:eastAsia="仿宋_GB2312"/>
          <w:color w:val="000000"/>
          <w:sz w:val="32"/>
          <w:szCs w:val="32"/>
          <w:lang w:val="zh-CN"/>
        </w:rPr>
        <w:t>关心帮助。在此，我代表白云区人民检察院和全体检察人员表示诚挚的感谢！</w:t>
      </w:r>
    </w:p>
    <w:p>
      <w:pPr>
        <w:pStyle w:val="5"/>
        <w:widowControl/>
        <w:pBdr>
          <w:top w:val="none" w:color="333333" w:sz="0" w:space="0"/>
          <w:left w:val="none" w:color="333333" w:sz="0" w:space="0"/>
          <w:bottom w:val="none" w:color="333333" w:sz="0" w:space="0"/>
          <w:right w:val="none" w:color="333333" w:sz="0" w:space="9"/>
        </w:pBdr>
        <w:spacing w:beforeAutospacing="0" w:afterAutospacing="0"/>
        <w:ind w:firstLine="608" w:firstLineChars="200"/>
        <w:textAlignment w:val="baseline"/>
        <w:rPr>
          <w:rFonts w:ascii="Times New Roman" w:hAnsi="Times New Roman" w:eastAsia="仿宋_GB2312"/>
          <w:color w:val="000000"/>
          <w:sz w:val="32"/>
          <w:szCs w:val="32"/>
          <w:lang w:val="zh-CN"/>
        </w:rPr>
      </w:pPr>
      <w:r>
        <w:rPr>
          <w:rFonts w:ascii="Times New Roman" w:hAnsi="Times New Roman" w:eastAsia="仿宋_GB2312"/>
          <w:color w:val="000000"/>
          <w:sz w:val="32"/>
          <w:szCs w:val="32"/>
          <w:lang w:val="zh-CN"/>
        </w:rPr>
        <w:t>我们也清醒认识到，检察工作还存在不少问题和短板，面临不少困难和挑战：服务保障经济高质量发展任重道远，工作举措的针对性、创新性、实效性有待提升；推进检察工作自身高质量发展的</w:t>
      </w:r>
      <w:r>
        <w:rPr>
          <w:rFonts w:ascii="Times New Roman" w:hAnsi="仿宋_GB2312" w:eastAsia="仿宋_GB2312"/>
          <w:sz w:val="32"/>
          <w:szCs w:val="32"/>
        </w:rPr>
        <w:t>作为还不足，</w:t>
      </w:r>
      <w:r>
        <w:rPr>
          <w:rFonts w:ascii="Times New Roman" w:hAnsi="Times New Roman" w:eastAsia="仿宋_GB2312"/>
          <w:color w:val="000000"/>
          <w:sz w:val="32"/>
          <w:szCs w:val="32"/>
          <w:lang w:val="zh-CN"/>
        </w:rPr>
        <w:t>案多人少的矛盾、队伍素质能力与办理新型案件需求矛盾依然突出，法律监督供给与人民群众日益增长的美好生活需要不相适应；全面从严治党治检存在薄弱环节等等。对此，我们将高度重视，采取有力措施加以解决。</w:t>
      </w:r>
    </w:p>
    <w:p>
      <w:pPr>
        <w:pStyle w:val="5"/>
        <w:widowControl/>
        <w:pBdr>
          <w:top w:val="none" w:color="333333" w:sz="0" w:space="0"/>
          <w:left w:val="none" w:color="333333" w:sz="0" w:space="0"/>
          <w:bottom w:val="none" w:color="333333" w:sz="0" w:space="0"/>
          <w:right w:val="none" w:color="333333" w:sz="0" w:space="9"/>
        </w:pBdr>
        <w:spacing w:beforeAutospacing="0" w:afterAutospacing="0"/>
        <w:jc w:val="center"/>
        <w:textAlignment w:val="baseline"/>
        <w:rPr>
          <w:rStyle w:val="8"/>
          <w:rFonts w:ascii="Times New Roman" w:hAnsi="Times New Roman" w:eastAsia="仿宋_GB2312"/>
          <w:b w:val="0"/>
          <w:color w:val="000000"/>
          <w:sz w:val="32"/>
          <w:szCs w:val="32"/>
          <w:lang w:val="zh-CN"/>
        </w:rPr>
      </w:pPr>
      <w:r>
        <w:rPr>
          <w:rStyle w:val="8"/>
          <w:rFonts w:ascii="Times New Roman" w:hAnsi="华文中宋" w:eastAsia="华文中宋"/>
          <w:sz w:val="32"/>
        </w:rPr>
        <w:t>未来五年的工作思路</w:t>
      </w:r>
    </w:p>
    <w:p>
      <w:pPr>
        <w:pStyle w:val="5"/>
        <w:widowControl/>
        <w:pBdr>
          <w:top w:val="none" w:color="333333" w:sz="0" w:space="0"/>
          <w:left w:val="none" w:color="333333" w:sz="0" w:space="0"/>
          <w:bottom w:val="none" w:color="333333" w:sz="0" w:space="0"/>
          <w:right w:val="none" w:color="333333" w:sz="0" w:space="9"/>
        </w:pBdr>
        <w:spacing w:beforeAutospacing="0" w:afterAutospacing="0"/>
        <w:ind w:firstLine="608" w:firstLineChars="200"/>
        <w:textAlignment w:val="baseline"/>
        <w:rPr>
          <w:rFonts w:ascii="Times New Roman" w:hAnsi="Times New Roman" w:eastAsia="仿宋_GB2312"/>
          <w:color w:val="000000"/>
          <w:sz w:val="32"/>
          <w:szCs w:val="32"/>
          <w:lang w:val="zh-CN"/>
        </w:rPr>
      </w:pPr>
      <w:r>
        <w:rPr>
          <w:rFonts w:ascii="Times New Roman" w:hAnsi="Times New Roman" w:eastAsia="仿宋_GB2312"/>
          <w:color w:val="000000"/>
          <w:sz w:val="32"/>
          <w:szCs w:val="32"/>
          <w:lang w:val="zh-CN"/>
        </w:rPr>
        <w:t>未来五年，我院将</w:t>
      </w:r>
      <w:r>
        <w:rPr>
          <w:rFonts w:hint="eastAsia" w:ascii="Times New Roman" w:hAnsi="Times New Roman" w:eastAsia="仿宋_GB2312"/>
          <w:color w:val="000000"/>
          <w:sz w:val="32"/>
          <w:szCs w:val="32"/>
          <w:lang w:val="zh-CN"/>
        </w:rPr>
        <w:t>坚持以</w:t>
      </w:r>
      <w:r>
        <w:rPr>
          <w:rFonts w:ascii="Times New Roman" w:hAnsi="Times New Roman" w:eastAsia="仿宋_GB2312"/>
          <w:color w:val="000000"/>
          <w:sz w:val="32"/>
          <w:szCs w:val="32"/>
          <w:lang w:val="zh-CN"/>
        </w:rPr>
        <w:t>习近平新时代中国特色社会主义思想</w:t>
      </w:r>
      <w:r>
        <w:rPr>
          <w:rFonts w:hint="eastAsia" w:ascii="Times New Roman" w:hAnsi="Times New Roman" w:eastAsia="仿宋_GB2312"/>
          <w:color w:val="000000"/>
          <w:sz w:val="32"/>
          <w:szCs w:val="32"/>
          <w:lang w:val="zh-CN"/>
        </w:rPr>
        <w:t>为指导</w:t>
      </w:r>
      <w:r>
        <w:rPr>
          <w:rFonts w:ascii="Times New Roman" w:hAnsi="Times New Roman" w:eastAsia="仿宋_GB2312"/>
          <w:color w:val="000000"/>
          <w:sz w:val="32"/>
          <w:szCs w:val="32"/>
          <w:lang w:val="zh-CN"/>
        </w:rPr>
        <w:t>，全面贯彻党的十九大和十九届二中、三中、四中、五中全会精神，</w:t>
      </w:r>
      <w:r>
        <w:rPr>
          <w:rFonts w:hint="eastAsia" w:ascii="Times New Roman" w:hAnsi="Times New Roman" w:eastAsia="仿宋_GB2312"/>
          <w:color w:val="000000"/>
          <w:sz w:val="32"/>
          <w:szCs w:val="32"/>
          <w:lang w:val="zh-CN"/>
        </w:rPr>
        <w:t>认真</w:t>
      </w:r>
      <w:r>
        <w:rPr>
          <w:rFonts w:ascii="Times New Roman" w:hAnsi="Times New Roman" w:eastAsia="仿宋_GB2312"/>
          <w:color w:val="000000"/>
          <w:sz w:val="32"/>
          <w:szCs w:val="32"/>
          <w:lang w:val="zh-CN"/>
        </w:rPr>
        <w:t>落实区委和上级机关部署要求，</w:t>
      </w:r>
      <w:r>
        <w:rPr>
          <w:rFonts w:hint="eastAsia" w:ascii="Times New Roman" w:hAnsi="Times New Roman" w:eastAsia="仿宋_GB2312"/>
          <w:color w:val="000000"/>
          <w:sz w:val="32"/>
          <w:szCs w:val="32"/>
          <w:lang w:val="zh-CN"/>
        </w:rPr>
        <w:t>立足新发展阶段、贯彻新发展理念、服务和融入新发展格局，</w:t>
      </w:r>
      <w:r>
        <w:rPr>
          <w:rFonts w:hint="eastAsia" w:ascii="Times New Roman" w:hAnsi="Times New Roman" w:eastAsia="仿宋_GB2312"/>
          <w:color w:val="000000"/>
          <w:sz w:val="32"/>
          <w:szCs w:val="32"/>
        </w:rPr>
        <w:t>更加自觉担当作为，肩负起新的历史使命，为全面建设社会主义现代化国家开好局、起好步提供有力法治服务保障。</w:t>
      </w:r>
    </w:p>
    <w:p>
      <w:pPr>
        <w:pStyle w:val="5"/>
        <w:widowControl/>
        <w:pBdr>
          <w:top w:val="none" w:color="333333" w:sz="0" w:space="0"/>
          <w:left w:val="none" w:color="333333" w:sz="0" w:space="0"/>
          <w:bottom w:val="none" w:color="333333" w:sz="0" w:space="0"/>
          <w:right w:val="none" w:color="333333" w:sz="0" w:space="9"/>
        </w:pBdr>
        <w:spacing w:beforeAutospacing="0" w:afterAutospacing="0"/>
        <w:ind w:firstLine="608" w:firstLineChars="200"/>
        <w:textAlignment w:val="baseline"/>
        <w:rPr>
          <w:rFonts w:ascii="Times New Roman" w:hAnsi="Times New Roman" w:eastAsia="仿宋_GB2312"/>
          <w:color w:val="000000"/>
          <w:sz w:val="32"/>
          <w:szCs w:val="32"/>
        </w:rPr>
      </w:pPr>
      <w:r>
        <w:rPr>
          <w:rFonts w:ascii="Times New Roman" w:hAnsi="Times New Roman" w:eastAsia="楷体_GB2312"/>
          <w:b/>
          <w:bCs/>
          <w:sz w:val="32"/>
          <w:szCs w:val="32"/>
          <w:lang w:val="zh-CN"/>
        </w:rPr>
        <w:t>一是以政治建设为抓手，在</w:t>
      </w:r>
      <w:r>
        <w:rPr>
          <w:rFonts w:hint="eastAsia" w:ascii="Times New Roman" w:hAnsi="Times New Roman" w:eastAsia="楷体_GB2312"/>
          <w:b/>
          <w:bCs/>
          <w:sz w:val="32"/>
          <w:szCs w:val="32"/>
          <w:lang w:val="zh-CN"/>
        </w:rPr>
        <w:t>不断加强党建工作</w:t>
      </w:r>
      <w:r>
        <w:rPr>
          <w:rFonts w:ascii="Times New Roman" w:hAnsi="Times New Roman" w:eastAsia="楷体_GB2312"/>
          <w:b/>
          <w:bCs/>
          <w:sz w:val="32"/>
          <w:szCs w:val="32"/>
          <w:lang w:val="zh-CN"/>
        </w:rPr>
        <w:t>上实现新跨越</w:t>
      </w:r>
      <w:r>
        <w:rPr>
          <w:rFonts w:ascii="Times New Roman" w:hAnsi="Times New Roman" w:eastAsia="楷体_GB2312"/>
          <w:b/>
          <w:bCs/>
          <w:sz w:val="32"/>
          <w:szCs w:val="32"/>
          <w:lang w:val="zh-TW" w:eastAsia="zh-TW"/>
        </w:rPr>
        <w:t>。</w:t>
      </w:r>
      <w:r>
        <w:rPr>
          <w:rFonts w:ascii="Times New Roman" w:hAnsi="Times New Roman" w:eastAsia="仿宋_GB2312"/>
          <w:sz w:val="32"/>
          <w:szCs w:val="32"/>
        </w:rPr>
        <w:t>坚持以习近平法治思想为引领，牢记初心使命，更加忠诚履职，坚持讲政治与抓业务有机统一，始终把党的政治建设放在首位，把党的领导贯穿检察工作全过程、各方面。进一步理清党建工作思路、明确党建工作重点，为做好新时期检察工作提供坚强政治保证和组织保证。</w:t>
      </w:r>
    </w:p>
    <w:p>
      <w:pPr>
        <w:ind w:firstLine="608" w:firstLineChars="200"/>
        <w:rPr>
          <w:rFonts w:ascii="Times New Roman" w:hAnsi="Times New Roman" w:eastAsia="仿宋_GB2312" w:cs="Times New Roman"/>
          <w:color w:val="000000"/>
          <w:sz w:val="32"/>
          <w:szCs w:val="32"/>
          <w:lang w:val="zh-CN"/>
        </w:rPr>
      </w:pPr>
      <w:r>
        <w:rPr>
          <w:rFonts w:ascii="Times New Roman" w:hAnsi="Times New Roman" w:eastAsia="楷体_GB2312" w:cs="Times New Roman"/>
          <w:b/>
          <w:bCs/>
          <w:sz w:val="32"/>
          <w:szCs w:val="32"/>
          <w:lang w:val="zh-TW"/>
        </w:rPr>
        <w:t>二</w:t>
      </w:r>
      <w:r>
        <w:rPr>
          <w:rFonts w:ascii="Times New Roman" w:hAnsi="Times New Roman" w:eastAsia="楷体_GB2312" w:cs="Times New Roman"/>
          <w:b/>
          <w:bCs/>
          <w:sz w:val="32"/>
          <w:szCs w:val="32"/>
          <w:lang w:val="zh-TW" w:eastAsia="zh-TW"/>
        </w:rPr>
        <w:t>是</w:t>
      </w:r>
      <w:r>
        <w:rPr>
          <w:rFonts w:ascii="Times New Roman" w:hAnsi="Times New Roman" w:eastAsia="楷体_GB2312" w:cs="Times New Roman"/>
          <w:b/>
          <w:bCs/>
          <w:sz w:val="32"/>
          <w:szCs w:val="32"/>
        </w:rPr>
        <w:t>以大局意识为关键，</w:t>
      </w:r>
      <w:r>
        <w:rPr>
          <w:rFonts w:ascii="Times New Roman" w:hAnsi="Times New Roman" w:eastAsia="楷体_GB2312" w:cs="Times New Roman"/>
          <w:b/>
          <w:bCs/>
          <w:sz w:val="32"/>
          <w:szCs w:val="32"/>
          <w:lang w:val="zh-CN"/>
        </w:rPr>
        <w:t>在</w:t>
      </w:r>
      <w:r>
        <w:rPr>
          <w:rFonts w:ascii="Times New Roman" w:hAnsi="Times New Roman" w:eastAsia="楷体_GB2312" w:cs="Times New Roman"/>
          <w:b/>
          <w:bCs/>
          <w:sz w:val="32"/>
          <w:szCs w:val="32"/>
        </w:rPr>
        <w:t>服务经济社会高质量发展</w:t>
      </w:r>
      <w:r>
        <w:rPr>
          <w:rFonts w:ascii="Times New Roman" w:hAnsi="Times New Roman" w:eastAsia="楷体_GB2312" w:cs="Times New Roman"/>
          <w:b/>
          <w:bCs/>
          <w:sz w:val="32"/>
          <w:szCs w:val="32"/>
          <w:lang w:val="zh-CN"/>
        </w:rPr>
        <w:t>上实现新</w:t>
      </w:r>
      <w:r>
        <w:rPr>
          <w:rFonts w:ascii="Times New Roman" w:hAnsi="Times New Roman" w:eastAsia="楷体_GB2312" w:cs="Times New Roman"/>
          <w:b/>
          <w:bCs/>
          <w:sz w:val="32"/>
          <w:szCs w:val="32"/>
        </w:rPr>
        <w:t>作为</w:t>
      </w:r>
      <w:r>
        <w:rPr>
          <w:rFonts w:ascii="Times New Roman" w:hAnsi="Times New Roman" w:eastAsia="楷体_GB2312" w:cs="Times New Roman"/>
          <w:b/>
          <w:bCs/>
          <w:sz w:val="32"/>
          <w:szCs w:val="32"/>
          <w:lang w:val="zh-TW" w:eastAsia="zh-TW"/>
        </w:rPr>
        <w:t>。</w:t>
      </w:r>
      <w:r>
        <w:rPr>
          <w:rFonts w:ascii="Times New Roman" w:hAnsi="Times New Roman" w:eastAsia="仿宋_GB2312" w:cs="Times New Roman"/>
          <w:color w:val="000000"/>
          <w:sz w:val="32"/>
          <w:szCs w:val="32"/>
          <w:lang w:val="zh-CN"/>
        </w:rPr>
        <w:t>充分发挥检察职能，</w:t>
      </w:r>
      <w:r>
        <w:rPr>
          <w:rFonts w:ascii="Times New Roman" w:hAnsi="仿宋_GB2312" w:eastAsia="仿宋_GB2312" w:cs="Times New Roman"/>
          <w:sz w:val="32"/>
          <w:szCs w:val="32"/>
        </w:rPr>
        <w:t>抓紧抓实疫情防控，优化法治化营商环境，</w:t>
      </w:r>
      <w:r>
        <w:rPr>
          <w:rFonts w:hint="eastAsia" w:ascii="Times New Roman" w:hAnsi="仿宋_GB2312" w:eastAsia="仿宋_GB2312" w:cs="Times New Roman"/>
          <w:sz w:val="32"/>
          <w:szCs w:val="32"/>
        </w:rPr>
        <w:t>常态化开展</w:t>
      </w:r>
      <w:r>
        <w:rPr>
          <w:rFonts w:ascii="Times New Roman" w:hAnsi="仿宋_GB2312" w:eastAsia="仿宋_GB2312" w:cs="Times New Roman"/>
          <w:sz w:val="32"/>
          <w:szCs w:val="32"/>
        </w:rPr>
        <w:t>扫黑除恶</w:t>
      </w:r>
      <w:r>
        <w:rPr>
          <w:rFonts w:hint="eastAsia" w:ascii="Times New Roman" w:hAnsi="仿宋_GB2312" w:eastAsia="仿宋_GB2312" w:cs="Times New Roman"/>
          <w:sz w:val="32"/>
          <w:szCs w:val="32"/>
        </w:rPr>
        <w:t>斗争</w:t>
      </w:r>
      <w:r>
        <w:rPr>
          <w:rFonts w:ascii="Times New Roman" w:hAnsi="Times New Roman" w:eastAsia="仿宋_GB2312" w:cs="Times New Roman"/>
          <w:color w:val="000000"/>
          <w:sz w:val="32"/>
          <w:szCs w:val="32"/>
          <w:lang w:val="zh-CN"/>
        </w:rPr>
        <w:t>，</w:t>
      </w:r>
      <w:r>
        <w:rPr>
          <w:rFonts w:hint="eastAsia" w:ascii="Times New Roman" w:hAnsi="仿宋_GB2312" w:eastAsia="仿宋_GB2312" w:cs="Times New Roman"/>
          <w:sz w:val="32"/>
          <w:szCs w:val="32"/>
        </w:rPr>
        <w:t>助推</w:t>
      </w:r>
      <w:r>
        <w:rPr>
          <w:rFonts w:ascii="Times New Roman" w:hAnsi="仿宋_GB2312" w:eastAsia="仿宋_GB2312" w:cs="Times New Roman"/>
          <w:sz w:val="32"/>
          <w:szCs w:val="32"/>
        </w:rPr>
        <w:t>社会治理体系和治理能力现代化</w:t>
      </w:r>
      <w:r>
        <w:rPr>
          <w:rFonts w:ascii="Times New Roman" w:hAnsi="Times New Roman" w:eastAsia="仿宋_GB2312" w:cs="Times New Roman"/>
          <w:color w:val="000000"/>
          <w:sz w:val="32"/>
          <w:szCs w:val="32"/>
          <w:lang w:val="zh-CN"/>
        </w:rPr>
        <w:t>。</w:t>
      </w:r>
      <w:r>
        <w:rPr>
          <w:rFonts w:ascii="Times New Roman" w:hAnsi="仿宋_GB2312" w:eastAsia="仿宋_GB2312" w:cs="Times New Roman"/>
          <w:sz w:val="32"/>
          <w:szCs w:val="32"/>
          <w:lang w:val="zh-TW" w:eastAsia="zh-TW"/>
        </w:rPr>
        <w:t>坚决</w:t>
      </w:r>
      <w:r>
        <w:rPr>
          <w:rFonts w:ascii="Times New Roman" w:hAnsi="仿宋_GB2312" w:eastAsia="仿宋_GB2312" w:cs="Times New Roman"/>
          <w:sz w:val="32"/>
          <w:szCs w:val="32"/>
          <w:lang w:val="zh-TW"/>
        </w:rPr>
        <w:t>维护国家安全</w:t>
      </w:r>
      <w:r>
        <w:rPr>
          <w:rFonts w:hint="eastAsia" w:ascii="Times New Roman" w:hAnsi="仿宋_GB2312" w:eastAsia="仿宋_GB2312" w:cs="Times New Roman"/>
          <w:sz w:val="32"/>
          <w:szCs w:val="32"/>
          <w:lang w:val="zh-TW"/>
        </w:rPr>
        <w:t>、</w:t>
      </w:r>
      <w:r>
        <w:rPr>
          <w:rFonts w:ascii="Times New Roman" w:hAnsi="仿宋_GB2312" w:eastAsia="仿宋_GB2312" w:cs="Times New Roman"/>
          <w:sz w:val="32"/>
          <w:szCs w:val="32"/>
          <w:lang w:val="zh-TW"/>
        </w:rPr>
        <w:t>社会安</w:t>
      </w:r>
      <w:r>
        <w:rPr>
          <w:rFonts w:hint="eastAsia" w:ascii="Times New Roman" w:hAnsi="仿宋_GB2312" w:eastAsia="仿宋_GB2312" w:cs="Times New Roman"/>
          <w:sz w:val="32"/>
          <w:szCs w:val="32"/>
          <w:lang w:val="zh-TW"/>
        </w:rPr>
        <w:t>定</w:t>
      </w:r>
      <w:r>
        <w:rPr>
          <w:rFonts w:ascii="Times New Roman" w:hAnsi="仿宋_GB2312" w:eastAsia="仿宋_GB2312" w:cs="Times New Roman"/>
          <w:sz w:val="32"/>
          <w:szCs w:val="32"/>
          <w:lang w:val="zh-TW"/>
        </w:rPr>
        <w:t>、人民安宁，严厉</w:t>
      </w:r>
      <w:r>
        <w:rPr>
          <w:rFonts w:ascii="Times New Roman" w:hAnsi="仿宋_GB2312" w:eastAsia="仿宋_GB2312" w:cs="Times New Roman"/>
          <w:sz w:val="32"/>
          <w:szCs w:val="32"/>
          <w:lang w:val="zh-TW" w:eastAsia="zh-TW"/>
        </w:rPr>
        <w:t>打击</w:t>
      </w:r>
      <w:r>
        <w:rPr>
          <w:rFonts w:ascii="Times New Roman" w:hAnsi="仿宋_GB2312" w:eastAsia="仿宋_GB2312" w:cs="Times New Roman"/>
          <w:sz w:val="32"/>
          <w:szCs w:val="32"/>
          <w:lang w:val="zh-TW"/>
        </w:rPr>
        <w:t>侵犯公民个人信息、危害食品药品安全、破坏金融管理秩序等</w:t>
      </w:r>
      <w:r>
        <w:rPr>
          <w:rFonts w:ascii="Times New Roman" w:hAnsi="仿宋_GB2312" w:eastAsia="仿宋_GB2312" w:cs="Times New Roman"/>
          <w:sz w:val="32"/>
          <w:szCs w:val="32"/>
          <w:lang w:val="zh-TW" w:eastAsia="zh-TW"/>
        </w:rPr>
        <w:t>刑事犯罪，</w:t>
      </w:r>
      <w:r>
        <w:rPr>
          <w:rFonts w:ascii="Times New Roman" w:hAnsi="仿宋_GB2312" w:eastAsia="仿宋_GB2312" w:cs="Times New Roman"/>
          <w:sz w:val="32"/>
          <w:szCs w:val="32"/>
        </w:rPr>
        <w:t>落细落实打击电信网络诈骗、整治虚假诉讼等保安全、护稳定措施，</w:t>
      </w:r>
      <w:r>
        <w:rPr>
          <w:rFonts w:hint="eastAsia" w:ascii="Times New Roman" w:hAnsi="Times New Roman" w:eastAsia="仿宋_GB2312" w:cs="Times New Roman"/>
          <w:color w:val="000000"/>
          <w:sz w:val="32"/>
          <w:szCs w:val="32"/>
          <w:lang w:val="zh-CN"/>
        </w:rPr>
        <w:t>深化法治白云建设，推进严格执法、公正司法、全民守法，推动依法治区工作走在全市前列。</w:t>
      </w:r>
    </w:p>
    <w:p>
      <w:pPr>
        <w:ind w:firstLine="608" w:firstLineChars="200"/>
        <w:rPr>
          <w:rFonts w:ascii="楷体" w:hAnsi="楷体" w:eastAsia="楷体" w:cs="楷体"/>
          <w:b/>
          <w:bCs/>
          <w:sz w:val="32"/>
          <w:szCs w:val="32"/>
          <w:lang w:val="zh-TW"/>
        </w:rPr>
      </w:pPr>
      <w:r>
        <w:rPr>
          <w:rFonts w:ascii="Times New Roman" w:hAnsi="Times New Roman" w:eastAsia="楷体_GB2312" w:cs="Times New Roman"/>
          <w:b/>
          <w:bCs/>
          <w:sz w:val="32"/>
          <w:szCs w:val="32"/>
          <w:lang w:val="zh-TW"/>
        </w:rPr>
        <w:t>三</w:t>
      </w:r>
      <w:r>
        <w:rPr>
          <w:rFonts w:ascii="Times New Roman" w:hAnsi="Times New Roman" w:eastAsia="楷体_GB2312" w:cs="Times New Roman"/>
          <w:b/>
          <w:bCs/>
          <w:sz w:val="32"/>
          <w:szCs w:val="32"/>
          <w:lang w:val="zh-TW" w:eastAsia="zh-TW"/>
        </w:rPr>
        <w:t>是以</w:t>
      </w:r>
      <w:r>
        <w:rPr>
          <w:rFonts w:ascii="Times New Roman" w:hAnsi="Times New Roman" w:eastAsia="楷体_GB2312" w:cs="Times New Roman"/>
          <w:b/>
          <w:bCs/>
          <w:sz w:val="32"/>
          <w:szCs w:val="32"/>
          <w:lang w:val="zh-TW"/>
        </w:rPr>
        <w:t>公平正义</w:t>
      </w:r>
      <w:r>
        <w:rPr>
          <w:rFonts w:ascii="Times New Roman" w:hAnsi="Times New Roman" w:eastAsia="楷体_GB2312" w:cs="Times New Roman"/>
          <w:b/>
          <w:bCs/>
          <w:sz w:val="32"/>
          <w:szCs w:val="32"/>
          <w:lang w:val="zh-TW" w:eastAsia="zh-TW"/>
        </w:rPr>
        <w:t>为</w:t>
      </w:r>
      <w:r>
        <w:rPr>
          <w:rFonts w:ascii="Times New Roman" w:hAnsi="Times New Roman" w:eastAsia="楷体_GB2312" w:cs="Times New Roman"/>
          <w:b/>
          <w:bCs/>
          <w:sz w:val="32"/>
          <w:szCs w:val="32"/>
          <w:lang w:val="zh-TW"/>
        </w:rPr>
        <w:t>纲领，</w:t>
      </w:r>
      <w:r>
        <w:rPr>
          <w:rFonts w:ascii="Times New Roman" w:hAnsi="Times New Roman" w:eastAsia="楷体_GB2312" w:cs="Times New Roman"/>
          <w:b/>
          <w:bCs/>
          <w:sz w:val="32"/>
          <w:szCs w:val="32"/>
          <w:lang w:val="zh-TW" w:eastAsia="zh-TW"/>
        </w:rPr>
        <w:t>在</w:t>
      </w:r>
      <w:r>
        <w:rPr>
          <w:rFonts w:ascii="Times New Roman" w:hAnsi="Times New Roman" w:eastAsia="楷体_GB2312" w:cs="Times New Roman"/>
          <w:b/>
          <w:bCs/>
          <w:sz w:val="32"/>
          <w:szCs w:val="32"/>
          <w:lang w:val="zh-TW"/>
        </w:rPr>
        <w:t>完善法律监督体系上</w:t>
      </w:r>
      <w:r>
        <w:rPr>
          <w:rFonts w:ascii="Times New Roman" w:hAnsi="Times New Roman" w:eastAsia="楷体_GB2312" w:cs="Times New Roman"/>
          <w:b/>
          <w:bCs/>
          <w:sz w:val="32"/>
          <w:szCs w:val="32"/>
          <w:lang w:val="zh-TW" w:eastAsia="zh-TW"/>
        </w:rPr>
        <w:t>实现新</w:t>
      </w:r>
      <w:r>
        <w:rPr>
          <w:rFonts w:ascii="Times New Roman" w:hAnsi="Times New Roman" w:eastAsia="楷体_GB2312" w:cs="Times New Roman"/>
          <w:b/>
          <w:bCs/>
          <w:sz w:val="32"/>
          <w:szCs w:val="32"/>
          <w:lang w:val="zh-CN"/>
        </w:rPr>
        <w:t>突破</w:t>
      </w:r>
      <w:r>
        <w:rPr>
          <w:rFonts w:ascii="Times New Roman" w:hAnsi="Times New Roman" w:eastAsia="楷体_GB2312" w:cs="Times New Roman"/>
          <w:b/>
          <w:bCs/>
          <w:sz w:val="32"/>
          <w:szCs w:val="32"/>
          <w:lang w:val="zh-TW" w:eastAsia="zh-TW"/>
        </w:rPr>
        <w:t>。</w:t>
      </w:r>
      <w:r>
        <w:rPr>
          <w:rFonts w:ascii="Times New Roman" w:hAnsi="仿宋_GB2312" w:eastAsia="仿宋_GB2312" w:cs="Times New Roman"/>
          <w:sz w:val="32"/>
          <w:szCs w:val="32"/>
          <w:lang w:val="zh-TW"/>
        </w:rPr>
        <w:t>立足于最大限度满足人民群众对民主、法治、公平、正义、安全、环境等方面更高水平、更丰富内涵的需求，持续</w:t>
      </w:r>
      <w:r>
        <w:rPr>
          <w:rFonts w:ascii="Times New Roman" w:hAnsi="仿宋_GB2312" w:eastAsia="仿宋_GB2312" w:cs="Times New Roman"/>
          <w:sz w:val="32"/>
          <w:szCs w:val="32"/>
          <w:lang w:val="zh-TW" w:eastAsia="zh-TW"/>
        </w:rPr>
        <w:t>更新</w:t>
      </w:r>
      <w:r>
        <w:rPr>
          <w:rFonts w:ascii="Times New Roman" w:hAnsi="仿宋_GB2312" w:eastAsia="仿宋_GB2312" w:cs="Times New Roman"/>
          <w:sz w:val="32"/>
          <w:szCs w:val="32"/>
          <w:lang w:val="zh-TW"/>
        </w:rPr>
        <w:t>检察</w:t>
      </w:r>
      <w:r>
        <w:rPr>
          <w:rFonts w:ascii="Times New Roman" w:hAnsi="仿宋_GB2312" w:eastAsia="仿宋_GB2312" w:cs="Times New Roman"/>
          <w:sz w:val="32"/>
          <w:szCs w:val="32"/>
          <w:lang w:val="zh-TW" w:eastAsia="zh-TW"/>
        </w:rPr>
        <w:t>理念，</w:t>
      </w:r>
      <w:r>
        <w:rPr>
          <w:rFonts w:ascii="Times New Roman" w:hAnsi="仿宋_GB2312" w:eastAsia="仿宋_GB2312" w:cs="Times New Roman"/>
          <w:sz w:val="32"/>
          <w:szCs w:val="32"/>
          <w:lang w:val="zh-TW"/>
        </w:rPr>
        <w:t>在敢于监督基础上，更加自觉把政</w:t>
      </w:r>
      <w:r>
        <w:rPr>
          <w:rFonts w:hint="eastAsia" w:ascii="仿宋_GB2312" w:hAnsi="仿宋_GB2312" w:eastAsia="仿宋_GB2312" w:cs="仿宋_GB2312"/>
          <w:sz w:val="32"/>
          <w:szCs w:val="32"/>
          <w:lang w:val="zh-TW"/>
        </w:rPr>
        <w:t>策的刚性要求、法律的刚性规定与实践的灵活方式结合起来，善于运用政治智慧、法律智慧、检察智慧，增强法律监督“刚性”。</w:t>
      </w:r>
    </w:p>
    <w:p>
      <w:pPr>
        <w:pStyle w:val="5"/>
        <w:widowControl/>
        <w:pBdr>
          <w:top w:val="none" w:color="333333" w:sz="0" w:space="0"/>
          <w:left w:val="none" w:color="333333" w:sz="0" w:space="0"/>
          <w:bottom w:val="none" w:color="333333" w:sz="0" w:space="0"/>
          <w:right w:val="none" w:color="333333" w:sz="0" w:space="9"/>
        </w:pBdr>
        <w:spacing w:beforeAutospacing="0" w:afterAutospacing="0"/>
        <w:ind w:firstLine="608" w:firstLineChars="200"/>
        <w:textAlignment w:val="baseline"/>
        <w:rPr>
          <w:rFonts w:ascii="楷体_GB2312" w:hAnsi="楷体" w:eastAsia="楷体_GB2312" w:cs="楷体"/>
          <w:b/>
          <w:bCs/>
          <w:kern w:val="2"/>
          <w:sz w:val="32"/>
          <w:szCs w:val="32"/>
          <w:lang w:val="zh-TW"/>
        </w:rPr>
      </w:pPr>
      <w:r>
        <w:rPr>
          <w:rFonts w:hint="eastAsia" w:ascii="楷体_GB2312" w:hAnsi="楷体" w:eastAsia="楷体_GB2312" w:cs="楷体"/>
          <w:b/>
          <w:bCs/>
          <w:kern w:val="2"/>
          <w:sz w:val="32"/>
          <w:szCs w:val="32"/>
          <w:lang w:val="zh-TW"/>
        </w:rPr>
        <w:t>四是以固本强基为突破，在推进自身高质量发展上实现新提升。</w:t>
      </w:r>
      <w:r>
        <w:rPr>
          <w:rFonts w:hint="eastAsia" w:ascii="仿宋_GB2312" w:hAnsi="仿宋_GB2312" w:eastAsia="仿宋_GB2312" w:cs="仿宋_GB2312"/>
          <w:kern w:val="2"/>
          <w:sz w:val="32"/>
          <w:szCs w:val="32"/>
          <w:lang w:val="zh-TW"/>
        </w:rPr>
        <w:t>坚持人才强检战略，全面提升检察人员专业知识、专业能力、专业作风、专业精神，持续激发内生动力和发展活力。坚定不移全面从严治党治检，毫不动摇巩固政法队伍教育整顿成果，持之以恒正风肃纪，切实把政治坚定、公道正派、廉洁勤奋、理性公允等白云检察优良传统和作风，融入全院干警的骨髓血脉，推动检察工作高质量发展。</w:t>
      </w:r>
    </w:p>
    <w:p>
      <w:pPr>
        <w:pStyle w:val="5"/>
        <w:widowControl/>
        <w:pBdr>
          <w:top w:val="none" w:color="333333" w:sz="0" w:space="0"/>
          <w:left w:val="none" w:color="333333" w:sz="0" w:space="0"/>
          <w:bottom w:val="none" w:color="333333" w:sz="0" w:space="0"/>
          <w:right w:val="none" w:color="333333" w:sz="0" w:space="9"/>
        </w:pBdr>
        <w:spacing w:beforeAutospacing="0" w:afterAutospacing="0"/>
        <w:ind w:firstLine="608" w:firstLineChars="200"/>
        <w:textAlignment w:val="baseline"/>
        <w:rPr>
          <w:rFonts w:ascii="仿宋_GB2312" w:hAnsi="Times New Roman" w:eastAsia="仿宋_GB2312"/>
          <w:color w:val="000000"/>
          <w:sz w:val="32"/>
          <w:szCs w:val="32"/>
          <w:lang w:val="zh-CN"/>
        </w:rPr>
      </w:pPr>
      <w:r>
        <w:rPr>
          <w:rFonts w:hint="eastAsia" w:ascii="仿宋_GB2312" w:hAnsi="Times New Roman" w:eastAsia="仿宋_GB2312"/>
          <w:color w:val="000000"/>
          <w:sz w:val="32"/>
          <w:szCs w:val="32"/>
          <w:lang w:val="zh-CN"/>
        </w:rPr>
        <w:t>各位代表,本次会议以后,我们将认真研究落实代表的审议意见，不断改进工作。新时代赋予检察工作新使命，我们将不忘初心、牢记使命，以更积极主动的姿态和敢闯敢干的担当，为奋力将白云建设成为高质量发展中心城区，为广州加快实现老城市新活力、“四个出新出彩”，在实现总书记赋予广东的使命任务中勇当排头兵贡献检察力量！</w:t>
      </w:r>
    </w:p>
    <w:p>
      <w:pPr>
        <w:widowControl/>
        <w:ind w:firstLine="608" w:firstLineChars="200"/>
        <w:jc w:val="left"/>
        <w:textAlignment w:val="baseline"/>
        <w:rPr>
          <w:rFonts w:ascii="Times New Roman" w:hAnsi="Times New Roman" w:eastAsia="仿宋_GB2312"/>
          <w:sz w:val="32"/>
          <w:szCs w:val="32"/>
        </w:rPr>
      </w:pPr>
    </w:p>
    <w:sectPr>
      <w:footerReference r:id="rId3" w:type="default"/>
      <w:pgSz w:w="11906" w:h="16838"/>
      <w:pgMar w:top="1440" w:right="1797" w:bottom="1440" w:left="1797" w:header="851" w:footer="992" w:gutter="0"/>
      <w:cols w:space="425" w:num="1"/>
      <w:docGrid w:type="linesAndChars" w:linePitch="290" w:charSpace="-34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华文中宋">
    <w:altName w:val="汉仪中宋简"/>
    <w:panose1 w:val="02010600040101010101"/>
    <w:charset w:val="86"/>
    <w:family w:val="auto"/>
    <w:pitch w:val="default"/>
    <w:sig w:usb0="00000000" w:usb1="00000000" w:usb2="00000010" w:usb3="00000000" w:csb0="0004009F" w:csb1="00000000"/>
  </w:font>
  <w:font w:name="&amp;quot">
    <w:altName w:val="仿宋"/>
    <w:panose1 w:val="00000000000000000000"/>
    <w:charset w:val="00"/>
    <w:family w:val="auto"/>
    <w:pitch w:val="default"/>
    <w:sig w:usb0="00000000" w:usb1="00000000" w:usb2="00000000" w:usb3="00000000" w:csb0="00000000" w:csb1="00000000"/>
  </w:font>
  <w:font w:name="楷体">
    <w:panose1 w:val="02010609060101010101"/>
    <w:charset w:val="86"/>
    <w:family w:val="modern"/>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 w:name="Noto Sans CJK JP Bold">
    <w:panose1 w:val="020B0800000000000000"/>
    <w:charset w:val="86"/>
    <w:family w:val="auto"/>
    <w:pitch w:val="default"/>
    <w:sig w:usb0="30000003" w:usb1="2BDF3C10" w:usb2="00000016" w:usb3="00000000" w:csb0="602E0107" w:csb1="00000000"/>
  </w:font>
  <w:font w:name="汉仪中宋简">
    <w:panose1 w:val="02010600000101010101"/>
    <w:charset w:val="86"/>
    <w:family w:val="auto"/>
    <w:pitch w:val="default"/>
    <w:sig w:usb0="00000001" w:usb1="080E0800" w:usb2="00000002"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517888"/>
      <w:docPartObj>
        <w:docPartGallery w:val="AutoText"/>
      </w:docPartObj>
    </w:sdtPr>
    <w:sdtContent>
      <w:p>
        <w:pPr>
          <w:pStyle w:val="3"/>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true"/>
  <w:bordersDoNotSurroundHeader w:val="true"/>
  <w:bordersDoNotSurroundFooter w:val="true"/>
  <w:documentProtection w:enforcement="0"/>
  <w:defaultTabStop w:val="420"/>
  <w:drawingGridHorizontalSpacing w:val="193"/>
  <w:drawingGridVerticalSpacing w:val="14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105CB"/>
    <w:rsid w:val="000014C7"/>
    <w:rsid w:val="00002021"/>
    <w:rsid w:val="0000534B"/>
    <w:rsid w:val="000126BC"/>
    <w:rsid w:val="000134CD"/>
    <w:rsid w:val="000159A1"/>
    <w:rsid w:val="0001660C"/>
    <w:rsid w:val="00016813"/>
    <w:rsid w:val="00017EA4"/>
    <w:rsid w:val="00017F2E"/>
    <w:rsid w:val="00023459"/>
    <w:rsid w:val="0002376F"/>
    <w:rsid w:val="00023B4F"/>
    <w:rsid w:val="000303BC"/>
    <w:rsid w:val="000314AE"/>
    <w:rsid w:val="00031519"/>
    <w:rsid w:val="00036AC2"/>
    <w:rsid w:val="00046009"/>
    <w:rsid w:val="00046154"/>
    <w:rsid w:val="00054B88"/>
    <w:rsid w:val="00066CCE"/>
    <w:rsid w:val="0006708B"/>
    <w:rsid w:val="000675B4"/>
    <w:rsid w:val="00067679"/>
    <w:rsid w:val="000700EA"/>
    <w:rsid w:val="00070275"/>
    <w:rsid w:val="0007083D"/>
    <w:rsid w:val="0007422E"/>
    <w:rsid w:val="000742A1"/>
    <w:rsid w:val="000751BC"/>
    <w:rsid w:val="000751D2"/>
    <w:rsid w:val="00075431"/>
    <w:rsid w:val="00075842"/>
    <w:rsid w:val="0008114D"/>
    <w:rsid w:val="000817F2"/>
    <w:rsid w:val="00086005"/>
    <w:rsid w:val="00086116"/>
    <w:rsid w:val="00086E68"/>
    <w:rsid w:val="00086F45"/>
    <w:rsid w:val="00087E4C"/>
    <w:rsid w:val="00090F42"/>
    <w:rsid w:val="000910B7"/>
    <w:rsid w:val="000927F0"/>
    <w:rsid w:val="00094DBC"/>
    <w:rsid w:val="00097B6A"/>
    <w:rsid w:val="000A3962"/>
    <w:rsid w:val="000A52DE"/>
    <w:rsid w:val="000A752B"/>
    <w:rsid w:val="000B064B"/>
    <w:rsid w:val="000B0761"/>
    <w:rsid w:val="000B1484"/>
    <w:rsid w:val="000B1AAB"/>
    <w:rsid w:val="000B201E"/>
    <w:rsid w:val="000B2BA3"/>
    <w:rsid w:val="000B5E60"/>
    <w:rsid w:val="000C1170"/>
    <w:rsid w:val="000C26FE"/>
    <w:rsid w:val="000C35B3"/>
    <w:rsid w:val="000D009C"/>
    <w:rsid w:val="000D0A2C"/>
    <w:rsid w:val="000D1338"/>
    <w:rsid w:val="000D2C2D"/>
    <w:rsid w:val="000D5AA9"/>
    <w:rsid w:val="000D69BC"/>
    <w:rsid w:val="000E08D8"/>
    <w:rsid w:val="000E5839"/>
    <w:rsid w:val="000E6BF4"/>
    <w:rsid w:val="000E761D"/>
    <w:rsid w:val="000F0055"/>
    <w:rsid w:val="000F0AB3"/>
    <w:rsid w:val="000F3B59"/>
    <w:rsid w:val="000F3E16"/>
    <w:rsid w:val="00100E2C"/>
    <w:rsid w:val="00101323"/>
    <w:rsid w:val="00101591"/>
    <w:rsid w:val="00102389"/>
    <w:rsid w:val="00103757"/>
    <w:rsid w:val="001058A5"/>
    <w:rsid w:val="001106B6"/>
    <w:rsid w:val="00110F34"/>
    <w:rsid w:val="001121DE"/>
    <w:rsid w:val="00113D60"/>
    <w:rsid w:val="0011436B"/>
    <w:rsid w:val="00114710"/>
    <w:rsid w:val="001154B4"/>
    <w:rsid w:val="00116657"/>
    <w:rsid w:val="00117620"/>
    <w:rsid w:val="0012211A"/>
    <w:rsid w:val="00123DA2"/>
    <w:rsid w:val="001240DC"/>
    <w:rsid w:val="0012445A"/>
    <w:rsid w:val="00124C94"/>
    <w:rsid w:val="001312A5"/>
    <w:rsid w:val="0013222B"/>
    <w:rsid w:val="00132A12"/>
    <w:rsid w:val="00134395"/>
    <w:rsid w:val="001418EA"/>
    <w:rsid w:val="0014502F"/>
    <w:rsid w:val="00145225"/>
    <w:rsid w:val="001478CB"/>
    <w:rsid w:val="001503B1"/>
    <w:rsid w:val="001514F7"/>
    <w:rsid w:val="00151F34"/>
    <w:rsid w:val="001521EB"/>
    <w:rsid w:val="00153B67"/>
    <w:rsid w:val="00160488"/>
    <w:rsid w:val="00161843"/>
    <w:rsid w:val="0016418B"/>
    <w:rsid w:val="00165F94"/>
    <w:rsid w:val="00166290"/>
    <w:rsid w:val="00166E29"/>
    <w:rsid w:val="00171ECA"/>
    <w:rsid w:val="00176F0F"/>
    <w:rsid w:val="00177593"/>
    <w:rsid w:val="0018194C"/>
    <w:rsid w:val="00183147"/>
    <w:rsid w:val="00183EC1"/>
    <w:rsid w:val="0019049B"/>
    <w:rsid w:val="001962BE"/>
    <w:rsid w:val="001A2A33"/>
    <w:rsid w:val="001A47CF"/>
    <w:rsid w:val="001A6EFE"/>
    <w:rsid w:val="001B4750"/>
    <w:rsid w:val="001B5709"/>
    <w:rsid w:val="001B66E2"/>
    <w:rsid w:val="001C3D7C"/>
    <w:rsid w:val="001C5786"/>
    <w:rsid w:val="001C6B02"/>
    <w:rsid w:val="001C70C4"/>
    <w:rsid w:val="001C7984"/>
    <w:rsid w:val="001D0BE7"/>
    <w:rsid w:val="001D20D2"/>
    <w:rsid w:val="001D250E"/>
    <w:rsid w:val="001D4EBE"/>
    <w:rsid w:val="001D602E"/>
    <w:rsid w:val="001E2116"/>
    <w:rsid w:val="001E2AB0"/>
    <w:rsid w:val="001E40F3"/>
    <w:rsid w:val="001E610F"/>
    <w:rsid w:val="001F2983"/>
    <w:rsid w:val="001F38A1"/>
    <w:rsid w:val="001F3D78"/>
    <w:rsid w:val="001F706D"/>
    <w:rsid w:val="001F7DD0"/>
    <w:rsid w:val="00200207"/>
    <w:rsid w:val="00200C2A"/>
    <w:rsid w:val="00206C6D"/>
    <w:rsid w:val="00211EF3"/>
    <w:rsid w:val="0021483A"/>
    <w:rsid w:val="002201FB"/>
    <w:rsid w:val="00220422"/>
    <w:rsid w:val="00221452"/>
    <w:rsid w:val="002228B9"/>
    <w:rsid w:val="00224D9F"/>
    <w:rsid w:val="0022525E"/>
    <w:rsid w:val="00225B78"/>
    <w:rsid w:val="00226604"/>
    <w:rsid w:val="002319A4"/>
    <w:rsid w:val="0023374D"/>
    <w:rsid w:val="00234614"/>
    <w:rsid w:val="00243BA4"/>
    <w:rsid w:val="002443FB"/>
    <w:rsid w:val="00244CD7"/>
    <w:rsid w:val="002475B4"/>
    <w:rsid w:val="002477AD"/>
    <w:rsid w:val="00250962"/>
    <w:rsid w:val="002511D8"/>
    <w:rsid w:val="00251709"/>
    <w:rsid w:val="00251E8B"/>
    <w:rsid w:val="002536A9"/>
    <w:rsid w:val="00253923"/>
    <w:rsid w:val="00266F60"/>
    <w:rsid w:val="00267554"/>
    <w:rsid w:val="00267583"/>
    <w:rsid w:val="00275F0D"/>
    <w:rsid w:val="00276B8E"/>
    <w:rsid w:val="00280F44"/>
    <w:rsid w:val="00284572"/>
    <w:rsid w:val="002853DA"/>
    <w:rsid w:val="002909FB"/>
    <w:rsid w:val="0029334B"/>
    <w:rsid w:val="00293427"/>
    <w:rsid w:val="002947EE"/>
    <w:rsid w:val="002950E1"/>
    <w:rsid w:val="00295296"/>
    <w:rsid w:val="00295B16"/>
    <w:rsid w:val="00295CF6"/>
    <w:rsid w:val="002A3287"/>
    <w:rsid w:val="002A470E"/>
    <w:rsid w:val="002B0357"/>
    <w:rsid w:val="002B0B59"/>
    <w:rsid w:val="002B3350"/>
    <w:rsid w:val="002B60AA"/>
    <w:rsid w:val="002B7153"/>
    <w:rsid w:val="002C0581"/>
    <w:rsid w:val="002C07B1"/>
    <w:rsid w:val="002C5276"/>
    <w:rsid w:val="002C547D"/>
    <w:rsid w:val="002C6031"/>
    <w:rsid w:val="002C77B8"/>
    <w:rsid w:val="002D00C6"/>
    <w:rsid w:val="002D19E9"/>
    <w:rsid w:val="002D316B"/>
    <w:rsid w:val="002D41DD"/>
    <w:rsid w:val="002D4435"/>
    <w:rsid w:val="002D4D0E"/>
    <w:rsid w:val="002D69B9"/>
    <w:rsid w:val="002D76B4"/>
    <w:rsid w:val="002D7F9E"/>
    <w:rsid w:val="002E01CA"/>
    <w:rsid w:val="002E28CF"/>
    <w:rsid w:val="002E2D91"/>
    <w:rsid w:val="002E397B"/>
    <w:rsid w:val="002E59C7"/>
    <w:rsid w:val="002E617A"/>
    <w:rsid w:val="002E6336"/>
    <w:rsid w:val="002E77FD"/>
    <w:rsid w:val="002E7F70"/>
    <w:rsid w:val="002F283F"/>
    <w:rsid w:val="002F528F"/>
    <w:rsid w:val="002F529D"/>
    <w:rsid w:val="002F716A"/>
    <w:rsid w:val="0030264C"/>
    <w:rsid w:val="00302AB8"/>
    <w:rsid w:val="00305BA4"/>
    <w:rsid w:val="00306C59"/>
    <w:rsid w:val="00310446"/>
    <w:rsid w:val="003111D3"/>
    <w:rsid w:val="0031252D"/>
    <w:rsid w:val="00313119"/>
    <w:rsid w:val="00314C39"/>
    <w:rsid w:val="00314CD2"/>
    <w:rsid w:val="00317744"/>
    <w:rsid w:val="00323AD1"/>
    <w:rsid w:val="0032783F"/>
    <w:rsid w:val="0033117B"/>
    <w:rsid w:val="0033253B"/>
    <w:rsid w:val="00332B31"/>
    <w:rsid w:val="0033778D"/>
    <w:rsid w:val="00337F2B"/>
    <w:rsid w:val="00340EB7"/>
    <w:rsid w:val="00340F07"/>
    <w:rsid w:val="00343B9C"/>
    <w:rsid w:val="003450C9"/>
    <w:rsid w:val="00346D82"/>
    <w:rsid w:val="00347CCD"/>
    <w:rsid w:val="003523FE"/>
    <w:rsid w:val="00352623"/>
    <w:rsid w:val="00354EA6"/>
    <w:rsid w:val="0035537D"/>
    <w:rsid w:val="00357B5E"/>
    <w:rsid w:val="00360E0B"/>
    <w:rsid w:val="003618DA"/>
    <w:rsid w:val="003672B4"/>
    <w:rsid w:val="00370CCF"/>
    <w:rsid w:val="00371099"/>
    <w:rsid w:val="003714FC"/>
    <w:rsid w:val="0037220C"/>
    <w:rsid w:val="003759C5"/>
    <w:rsid w:val="003771A7"/>
    <w:rsid w:val="003776DE"/>
    <w:rsid w:val="00383D00"/>
    <w:rsid w:val="00385EBB"/>
    <w:rsid w:val="0038622B"/>
    <w:rsid w:val="00386FA6"/>
    <w:rsid w:val="003902A6"/>
    <w:rsid w:val="0039042F"/>
    <w:rsid w:val="00391496"/>
    <w:rsid w:val="00393BE9"/>
    <w:rsid w:val="00395329"/>
    <w:rsid w:val="00395AA7"/>
    <w:rsid w:val="00397D23"/>
    <w:rsid w:val="003A1330"/>
    <w:rsid w:val="003A16D6"/>
    <w:rsid w:val="003A52FE"/>
    <w:rsid w:val="003A533B"/>
    <w:rsid w:val="003A7B98"/>
    <w:rsid w:val="003B2C37"/>
    <w:rsid w:val="003B2C4A"/>
    <w:rsid w:val="003B45F7"/>
    <w:rsid w:val="003B7194"/>
    <w:rsid w:val="003C0DCD"/>
    <w:rsid w:val="003C1995"/>
    <w:rsid w:val="003C35E7"/>
    <w:rsid w:val="003C6F70"/>
    <w:rsid w:val="003D001E"/>
    <w:rsid w:val="003D0690"/>
    <w:rsid w:val="003D092C"/>
    <w:rsid w:val="003D09A6"/>
    <w:rsid w:val="003D3B49"/>
    <w:rsid w:val="003D5A77"/>
    <w:rsid w:val="003D6623"/>
    <w:rsid w:val="003E18CE"/>
    <w:rsid w:val="003E1B84"/>
    <w:rsid w:val="003F17E7"/>
    <w:rsid w:val="003F3095"/>
    <w:rsid w:val="003F54D2"/>
    <w:rsid w:val="003F6373"/>
    <w:rsid w:val="004005A6"/>
    <w:rsid w:val="00401F19"/>
    <w:rsid w:val="00411E60"/>
    <w:rsid w:val="00412186"/>
    <w:rsid w:val="004144D0"/>
    <w:rsid w:val="00415269"/>
    <w:rsid w:val="00416CFF"/>
    <w:rsid w:val="00416DF6"/>
    <w:rsid w:val="004202FE"/>
    <w:rsid w:val="004205F3"/>
    <w:rsid w:val="00423651"/>
    <w:rsid w:val="0042487A"/>
    <w:rsid w:val="0042557D"/>
    <w:rsid w:val="00425EF8"/>
    <w:rsid w:val="00430692"/>
    <w:rsid w:val="004324FB"/>
    <w:rsid w:val="00435B54"/>
    <w:rsid w:val="004409DB"/>
    <w:rsid w:val="00442005"/>
    <w:rsid w:val="0044234E"/>
    <w:rsid w:val="00447357"/>
    <w:rsid w:val="0045083A"/>
    <w:rsid w:val="00452686"/>
    <w:rsid w:val="00452FED"/>
    <w:rsid w:val="00454B7B"/>
    <w:rsid w:val="00454EAA"/>
    <w:rsid w:val="00460BB4"/>
    <w:rsid w:val="004703D8"/>
    <w:rsid w:val="004708B6"/>
    <w:rsid w:val="004718B3"/>
    <w:rsid w:val="004720CC"/>
    <w:rsid w:val="00475268"/>
    <w:rsid w:val="004800D8"/>
    <w:rsid w:val="00481B4F"/>
    <w:rsid w:val="00482318"/>
    <w:rsid w:val="00485A41"/>
    <w:rsid w:val="00487668"/>
    <w:rsid w:val="0048780B"/>
    <w:rsid w:val="00487C74"/>
    <w:rsid w:val="00491B05"/>
    <w:rsid w:val="004953E9"/>
    <w:rsid w:val="00495519"/>
    <w:rsid w:val="0049604E"/>
    <w:rsid w:val="004967B3"/>
    <w:rsid w:val="00496C44"/>
    <w:rsid w:val="004A347A"/>
    <w:rsid w:val="004A3829"/>
    <w:rsid w:val="004A3A8A"/>
    <w:rsid w:val="004A7ABC"/>
    <w:rsid w:val="004B088B"/>
    <w:rsid w:val="004B25B9"/>
    <w:rsid w:val="004B4A7B"/>
    <w:rsid w:val="004B4FBF"/>
    <w:rsid w:val="004B655D"/>
    <w:rsid w:val="004B7DAA"/>
    <w:rsid w:val="004C11BB"/>
    <w:rsid w:val="004C277B"/>
    <w:rsid w:val="004C422E"/>
    <w:rsid w:val="004C43AF"/>
    <w:rsid w:val="004C579A"/>
    <w:rsid w:val="004C7FDC"/>
    <w:rsid w:val="004D0259"/>
    <w:rsid w:val="004D0F85"/>
    <w:rsid w:val="004D26AB"/>
    <w:rsid w:val="004D2FC2"/>
    <w:rsid w:val="004D333A"/>
    <w:rsid w:val="004D444D"/>
    <w:rsid w:val="004E1444"/>
    <w:rsid w:val="004E3DA5"/>
    <w:rsid w:val="004E55BA"/>
    <w:rsid w:val="004E66BE"/>
    <w:rsid w:val="004E74C9"/>
    <w:rsid w:val="004F0E13"/>
    <w:rsid w:val="004F39C7"/>
    <w:rsid w:val="004F3DDC"/>
    <w:rsid w:val="004F41D1"/>
    <w:rsid w:val="004F5254"/>
    <w:rsid w:val="004F661F"/>
    <w:rsid w:val="004F7CB7"/>
    <w:rsid w:val="00503CFE"/>
    <w:rsid w:val="00506E6A"/>
    <w:rsid w:val="0051281F"/>
    <w:rsid w:val="00512E1F"/>
    <w:rsid w:val="00513179"/>
    <w:rsid w:val="00513A5D"/>
    <w:rsid w:val="00514187"/>
    <w:rsid w:val="005153DF"/>
    <w:rsid w:val="005160ED"/>
    <w:rsid w:val="00520534"/>
    <w:rsid w:val="00522C78"/>
    <w:rsid w:val="0052561B"/>
    <w:rsid w:val="00526926"/>
    <w:rsid w:val="00526C85"/>
    <w:rsid w:val="005306EB"/>
    <w:rsid w:val="0053084F"/>
    <w:rsid w:val="00532BED"/>
    <w:rsid w:val="00532C71"/>
    <w:rsid w:val="00532CB9"/>
    <w:rsid w:val="0053648E"/>
    <w:rsid w:val="00537F9C"/>
    <w:rsid w:val="005406BE"/>
    <w:rsid w:val="005406FB"/>
    <w:rsid w:val="00543064"/>
    <w:rsid w:val="00544872"/>
    <w:rsid w:val="00545211"/>
    <w:rsid w:val="0054589C"/>
    <w:rsid w:val="00550EC3"/>
    <w:rsid w:val="00555475"/>
    <w:rsid w:val="00562878"/>
    <w:rsid w:val="00571F4E"/>
    <w:rsid w:val="005752B9"/>
    <w:rsid w:val="005769A1"/>
    <w:rsid w:val="005829DA"/>
    <w:rsid w:val="00585F38"/>
    <w:rsid w:val="00586D00"/>
    <w:rsid w:val="00590314"/>
    <w:rsid w:val="005904BE"/>
    <w:rsid w:val="00590C6F"/>
    <w:rsid w:val="005919D9"/>
    <w:rsid w:val="005927ED"/>
    <w:rsid w:val="0059572E"/>
    <w:rsid w:val="00596C2B"/>
    <w:rsid w:val="005A0724"/>
    <w:rsid w:val="005A29C2"/>
    <w:rsid w:val="005A3E15"/>
    <w:rsid w:val="005A5188"/>
    <w:rsid w:val="005A773B"/>
    <w:rsid w:val="005B0239"/>
    <w:rsid w:val="005B6078"/>
    <w:rsid w:val="005C0101"/>
    <w:rsid w:val="005C3226"/>
    <w:rsid w:val="005C37C3"/>
    <w:rsid w:val="005C5133"/>
    <w:rsid w:val="005C51B3"/>
    <w:rsid w:val="005C7EFA"/>
    <w:rsid w:val="005D23E8"/>
    <w:rsid w:val="005D6A01"/>
    <w:rsid w:val="005E0A81"/>
    <w:rsid w:val="005E4269"/>
    <w:rsid w:val="005E5E6F"/>
    <w:rsid w:val="005F22BA"/>
    <w:rsid w:val="005F2363"/>
    <w:rsid w:val="005F2C71"/>
    <w:rsid w:val="005F435B"/>
    <w:rsid w:val="005F732D"/>
    <w:rsid w:val="00600DB6"/>
    <w:rsid w:val="00601630"/>
    <w:rsid w:val="00607F42"/>
    <w:rsid w:val="006105C5"/>
    <w:rsid w:val="00611B8C"/>
    <w:rsid w:val="00611D24"/>
    <w:rsid w:val="00614B74"/>
    <w:rsid w:val="00622F34"/>
    <w:rsid w:val="0062307C"/>
    <w:rsid w:val="0062652D"/>
    <w:rsid w:val="00627D36"/>
    <w:rsid w:val="00631C1E"/>
    <w:rsid w:val="00632897"/>
    <w:rsid w:val="00633412"/>
    <w:rsid w:val="006410CD"/>
    <w:rsid w:val="00646C3F"/>
    <w:rsid w:val="006478BE"/>
    <w:rsid w:val="00651ECA"/>
    <w:rsid w:val="00652031"/>
    <w:rsid w:val="00662D30"/>
    <w:rsid w:val="0066371D"/>
    <w:rsid w:val="00664EDD"/>
    <w:rsid w:val="00665F15"/>
    <w:rsid w:val="006669B1"/>
    <w:rsid w:val="00667F47"/>
    <w:rsid w:val="00671608"/>
    <w:rsid w:val="00672BAD"/>
    <w:rsid w:val="006734BC"/>
    <w:rsid w:val="00673939"/>
    <w:rsid w:val="00675269"/>
    <w:rsid w:val="00676B75"/>
    <w:rsid w:val="0067779F"/>
    <w:rsid w:val="00677D33"/>
    <w:rsid w:val="006827EB"/>
    <w:rsid w:val="0069230D"/>
    <w:rsid w:val="00692F76"/>
    <w:rsid w:val="0069419F"/>
    <w:rsid w:val="00694529"/>
    <w:rsid w:val="0069473E"/>
    <w:rsid w:val="00695477"/>
    <w:rsid w:val="00696A9B"/>
    <w:rsid w:val="006A1DEE"/>
    <w:rsid w:val="006A57AF"/>
    <w:rsid w:val="006A6B7F"/>
    <w:rsid w:val="006A7EC1"/>
    <w:rsid w:val="006B17C8"/>
    <w:rsid w:val="006B50D7"/>
    <w:rsid w:val="006B5731"/>
    <w:rsid w:val="006C0D9C"/>
    <w:rsid w:val="006C3703"/>
    <w:rsid w:val="006C3D49"/>
    <w:rsid w:val="006C4726"/>
    <w:rsid w:val="006C4F6C"/>
    <w:rsid w:val="006C5709"/>
    <w:rsid w:val="006C6011"/>
    <w:rsid w:val="006C6741"/>
    <w:rsid w:val="006C6936"/>
    <w:rsid w:val="006D01CC"/>
    <w:rsid w:val="006D06D3"/>
    <w:rsid w:val="006D2825"/>
    <w:rsid w:val="006D7755"/>
    <w:rsid w:val="006E014E"/>
    <w:rsid w:val="006E219E"/>
    <w:rsid w:val="006F282E"/>
    <w:rsid w:val="006F2B51"/>
    <w:rsid w:val="006F2BC2"/>
    <w:rsid w:val="006F3266"/>
    <w:rsid w:val="006F35D3"/>
    <w:rsid w:val="006F3B7E"/>
    <w:rsid w:val="006F4BF9"/>
    <w:rsid w:val="006F6F1D"/>
    <w:rsid w:val="00700844"/>
    <w:rsid w:val="00700E84"/>
    <w:rsid w:val="0070201E"/>
    <w:rsid w:val="00702A0E"/>
    <w:rsid w:val="007030AD"/>
    <w:rsid w:val="007047B6"/>
    <w:rsid w:val="007060B9"/>
    <w:rsid w:val="007115B5"/>
    <w:rsid w:val="00711C49"/>
    <w:rsid w:val="00715541"/>
    <w:rsid w:val="0071580F"/>
    <w:rsid w:val="00723640"/>
    <w:rsid w:val="00723E47"/>
    <w:rsid w:val="00724A1A"/>
    <w:rsid w:val="00725997"/>
    <w:rsid w:val="00726052"/>
    <w:rsid w:val="007302CD"/>
    <w:rsid w:val="0073077A"/>
    <w:rsid w:val="0073108F"/>
    <w:rsid w:val="0073193D"/>
    <w:rsid w:val="00731E73"/>
    <w:rsid w:val="007326E2"/>
    <w:rsid w:val="00735D42"/>
    <w:rsid w:val="00737ACA"/>
    <w:rsid w:val="00742B2D"/>
    <w:rsid w:val="0074328A"/>
    <w:rsid w:val="00743C0A"/>
    <w:rsid w:val="00744421"/>
    <w:rsid w:val="00744901"/>
    <w:rsid w:val="0074585E"/>
    <w:rsid w:val="00745B7A"/>
    <w:rsid w:val="00747E32"/>
    <w:rsid w:val="00760CE3"/>
    <w:rsid w:val="00761971"/>
    <w:rsid w:val="00761F44"/>
    <w:rsid w:val="0076209A"/>
    <w:rsid w:val="00762311"/>
    <w:rsid w:val="0076283C"/>
    <w:rsid w:val="00762DE1"/>
    <w:rsid w:val="007634DD"/>
    <w:rsid w:val="00763A40"/>
    <w:rsid w:val="00765043"/>
    <w:rsid w:val="00766709"/>
    <w:rsid w:val="007716DE"/>
    <w:rsid w:val="00784810"/>
    <w:rsid w:val="007903C7"/>
    <w:rsid w:val="00790F98"/>
    <w:rsid w:val="00794210"/>
    <w:rsid w:val="00794C4A"/>
    <w:rsid w:val="007A27C9"/>
    <w:rsid w:val="007A2AE7"/>
    <w:rsid w:val="007A440E"/>
    <w:rsid w:val="007A4567"/>
    <w:rsid w:val="007A590D"/>
    <w:rsid w:val="007A72B8"/>
    <w:rsid w:val="007A7D66"/>
    <w:rsid w:val="007A7E27"/>
    <w:rsid w:val="007B0215"/>
    <w:rsid w:val="007B1D60"/>
    <w:rsid w:val="007B21BF"/>
    <w:rsid w:val="007B2DDB"/>
    <w:rsid w:val="007B42B4"/>
    <w:rsid w:val="007C0D67"/>
    <w:rsid w:val="007C117F"/>
    <w:rsid w:val="007C31AD"/>
    <w:rsid w:val="007C4602"/>
    <w:rsid w:val="007C4984"/>
    <w:rsid w:val="007C5D3D"/>
    <w:rsid w:val="007C6C01"/>
    <w:rsid w:val="007D0CE7"/>
    <w:rsid w:val="007D34D8"/>
    <w:rsid w:val="007D5581"/>
    <w:rsid w:val="007E11D7"/>
    <w:rsid w:val="007E1CD9"/>
    <w:rsid w:val="007E4886"/>
    <w:rsid w:val="007E68DD"/>
    <w:rsid w:val="007E68EC"/>
    <w:rsid w:val="007E75BA"/>
    <w:rsid w:val="007E797C"/>
    <w:rsid w:val="007F0064"/>
    <w:rsid w:val="007F20F4"/>
    <w:rsid w:val="007F6FFC"/>
    <w:rsid w:val="007F7009"/>
    <w:rsid w:val="007F763F"/>
    <w:rsid w:val="007F7DC7"/>
    <w:rsid w:val="008010C9"/>
    <w:rsid w:val="00801C09"/>
    <w:rsid w:val="00804132"/>
    <w:rsid w:val="0080427D"/>
    <w:rsid w:val="0080633A"/>
    <w:rsid w:val="00807E6B"/>
    <w:rsid w:val="00813D2B"/>
    <w:rsid w:val="00817905"/>
    <w:rsid w:val="0082015C"/>
    <w:rsid w:val="00820D54"/>
    <w:rsid w:val="00821BCA"/>
    <w:rsid w:val="00821DD8"/>
    <w:rsid w:val="00823A09"/>
    <w:rsid w:val="008304BA"/>
    <w:rsid w:val="008311BD"/>
    <w:rsid w:val="008339E0"/>
    <w:rsid w:val="00834488"/>
    <w:rsid w:val="008363A7"/>
    <w:rsid w:val="00837C55"/>
    <w:rsid w:val="008406E9"/>
    <w:rsid w:val="008429E8"/>
    <w:rsid w:val="008439DB"/>
    <w:rsid w:val="008458C4"/>
    <w:rsid w:val="008459BD"/>
    <w:rsid w:val="00845C41"/>
    <w:rsid w:val="00846E10"/>
    <w:rsid w:val="00847F22"/>
    <w:rsid w:val="0085070F"/>
    <w:rsid w:val="0085177D"/>
    <w:rsid w:val="00855BDB"/>
    <w:rsid w:val="0085762E"/>
    <w:rsid w:val="00857A96"/>
    <w:rsid w:val="00862D8D"/>
    <w:rsid w:val="00864EB8"/>
    <w:rsid w:val="00867CC2"/>
    <w:rsid w:val="00875655"/>
    <w:rsid w:val="00875A67"/>
    <w:rsid w:val="0087784D"/>
    <w:rsid w:val="00877920"/>
    <w:rsid w:val="00877997"/>
    <w:rsid w:val="00877D4E"/>
    <w:rsid w:val="0088043E"/>
    <w:rsid w:val="00882E1B"/>
    <w:rsid w:val="00886263"/>
    <w:rsid w:val="00887829"/>
    <w:rsid w:val="00887C12"/>
    <w:rsid w:val="00892593"/>
    <w:rsid w:val="00892C97"/>
    <w:rsid w:val="0089313F"/>
    <w:rsid w:val="00896DA0"/>
    <w:rsid w:val="008A05D7"/>
    <w:rsid w:val="008A16B0"/>
    <w:rsid w:val="008A19D8"/>
    <w:rsid w:val="008A29E4"/>
    <w:rsid w:val="008A4325"/>
    <w:rsid w:val="008A4CD9"/>
    <w:rsid w:val="008A7333"/>
    <w:rsid w:val="008B11F7"/>
    <w:rsid w:val="008B1D89"/>
    <w:rsid w:val="008C0FC7"/>
    <w:rsid w:val="008C4DDA"/>
    <w:rsid w:val="008D33F0"/>
    <w:rsid w:val="008D3BFE"/>
    <w:rsid w:val="008D4F0A"/>
    <w:rsid w:val="008E6562"/>
    <w:rsid w:val="008E66FF"/>
    <w:rsid w:val="008E6E86"/>
    <w:rsid w:val="008F169D"/>
    <w:rsid w:val="008F25DE"/>
    <w:rsid w:val="008F5157"/>
    <w:rsid w:val="00902459"/>
    <w:rsid w:val="00903796"/>
    <w:rsid w:val="009048F4"/>
    <w:rsid w:val="009058B4"/>
    <w:rsid w:val="009069A3"/>
    <w:rsid w:val="00907571"/>
    <w:rsid w:val="009105CB"/>
    <w:rsid w:val="009109E3"/>
    <w:rsid w:val="0091589F"/>
    <w:rsid w:val="00917502"/>
    <w:rsid w:val="00917B8E"/>
    <w:rsid w:val="00920DE1"/>
    <w:rsid w:val="00920E28"/>
    <w:rsid w:val="009258CB"/>
    <w:rsid w:val="00925A5E"/>
    <w:rsid w:val="009268BD"/>
    <w:rsid w:val="0092706B"/>
    <w:rsid w:val="00927BA9"/>
    <w:rsid w:val="009316FE"/>
    <w:rsid w:val="00934019"/>
    <w:rsid w:val="009347FE"/>
    <w:rsid w:val="00934E76"/>
    <w:rsid w:val="00935812"/>
    <w:rsid w:val="0094348C"/>
    <w:rsid w:val="00944A27"/>
    <w:rsid w:val="00944C99"/>
    <w:rsid w:val="0094576F"/>
    <w:rsid w:val="0095159B"/>
    <w:rsid w:val="009518CA"/>
    <w:rsid w:val="00951FFB"/>
    <w:rsid w:val="00952384"/>
    <w:rsid w:val="0095302C"/>
    <w:rsid w:val="00956CF7"/>
    <w:rsid w:val="009629EE"/>
    <w:rsid w:val="009652B0"/>
    <w:rsid w:val="009655E2"/>
    <w:rsid w:val="00966CEF"/>
    <w:rsid w:val="00970BBA"/>
    <w:rsid w:val="009717BA"/>
    <w:rsid w:val="00977664"/>
    <w:rsid w:val="00980D16"/>
    <w:rsid w:val="009811DE"/>
    <w:rsid w:val="00982EA8"/>
    <w:rsid w:val="00985870"/>
    <w:rsid w:val="00987D5D"/>
    <w:rsid w:val="00996394"/>
    <w:rsid w:val="009970A4"/>
    <w:rsid w:val="009A0C1D"/>
    <w:rsid w:val="009A2C4E"/>
    <w:rsid w:val="009A54A8"/>
    <w:rsid w:val="009A59F8"/>
    <w:rsid w:val="009A61C7"/>
    <w:rsid w:val="009B185D"/>
    <w:rsid w:val="009B51B2"/>
    <w:rsid w:val="009B5D76"/>
    <w:rsid w:val="009B5E8D"/>
    <w:rsid w:val="009C075C"/>
    <w:rsid w:val="009C430E"/>
    <w:rsid w:val="009C464F"/>
    <w:rsid w:val="009C6D69"/>
    <w:rsid w:val="009C7331"/>
    <w:rsid w:val="009D3201"/>
    <w:rsid w:val="009D3590"/>
    <w:rsid w:val="009D3B7D"/>
    <w:rsid w:val="009D72E3"/>
    <w:rsid w:val="009E4D92"/>
    <w:rsid w:val="009E586B"/>
    <w:rsid w:val="00A02AEA"/>
    <w:rsid w:val="00A0310B"/>
    <w:rsid w:val="00A037DC"/>
    <w:rsid w:val="00A05FA4"/>
    <w:rsid w:val="00A10F71"/>
    <w:rsid w:val="00A11F95"/>
    <w:rsid w:val="00A12140"/>
    <w:rsid w:val="00A12697"/>
    <w:rsid w:val="00A133CB"/>
    <w:rsid w:val="00A13816"/>
    <w:rsid w:val="00A14431"/>
    <w:rsid w:val="00A2149F"/>
    <w:rsid w:val="00A22A86"/>
    <w:rsid w:val="00A243DC"/>
    <w:rsid w:val="00A262E7"/>
    <w:rsid w:val="00A264AC"/>
    <w:rsid w:val="00A34E06"/>
    <w:rsid w:val="00A36C84"/>
    <w:rsid w:val="00A36F51"/>
    <w:rsid w:val="00A373F2"/>
    <w:rsid w:val="00A4013F"/>
    <w:rsid w:val="00A411E5"/>
    <w:rsid w:val="00A45E4D"/>
    <w:rsid w:val="00A5374E"/>
    <w:rsid w:val="00A54593"/>
    <w:rsid w:val="00A55BEA"/>
    <w:rsid w:val="00A57017"/>
    <w:rsid w:val="00A61A09"/>
    <w:rsid w:val="00A61E57"/>
    <w:rsid w:val="00A643B3"/>
    <w:rsid w:val="00A64D86"/>
    <w:rsid w:val="00A6627D"/>
    <w:rsid w:val="00A664DF"/>
    <w:rsid w:val="00A6655F"/>
    <w:rsid w:val="00A67E83"/>
    <w:rsid w:val="00A71E44"/>
    <w:rsid w:val="00A74925"/>
    <w:rsid w:val="00A75DC5"/>
    <w:rsid w:val="00A8182B"/>
    <w:rsid w:val="00A82467"/>
    <w:rsid w:val="00A84792"/>
    <w:rsid w:val="00A85658"/>
    <w:rsid w:val="00A8715C"/>
    <w:rsid w:val="00A87C7C"/>
    <w:rsid w:val="00A933B7"/>
    <w:rsid w:val="00A96514"/>
    <w:rsid w:val="00AA0D95"/>
    <w:rsid w:val="00AA299A"/>
    <w:rsid w:val="00AA38CA"/>
    <w:rsid w:val="00AA5204"/>
    <w:rsid w:val="00AA6605"/>
    <w:rsid w:val="00AB5618"/>
    <w:rsid w:val="00AB6A59"/>
    <w:rsid w:val="00AC072C"/>
    <w:rsid w:val="00AC2D77"/>
    <w:rsid w:val="00AC7649"/>
    <w:rsid w:val="00AC77C2"/>
    <w:rsid w:val="00AD32AD"/>
    <w:rsid w:val="00AD3ADF"/>
    <w:rsid w:val="00AD4544"/>
    <w:rsid w:val="00AD5021"/>
    <w:rsid w:val="00AE0BC6"/>
    <w:rsid w:val="00AE128C"/>
    <w:rsid w:val="00AE1310"/>
    <w:rsid w:val="00AE1474"/>
    <w:rsid w:val="00AE3B25"/>
    <w:rsid w:val="00AE5580"/>
    <w:rsid w:val="00AF425E"/>
    <w:rsid w:val="00AF7B32"/>
    <w:rsid w:val="00B00A8F"/>
    <w:rsid w:val="00B02E4A"/>
    <w:rsid w:val="00B045FB"/>
    <w:rsid w:val="00B05D0F"/>
    <w:rsid w:val="00B05F41"/>
    <w:rsid w:val="00B1356C"/>
    <w:rsid w:val="00B148E5"/>
    <w:rsid w:val="00B17001"/>
    <w:rsid w:val="00B24BA3"/>
    <w:rsid w:val="00B338A5"/>
    <w:rsid w:val="00B33997"/>
    <w:rsid w:val="00B3584E"/>
    <w:rsid w:val="00B36093"/>
    <w:rsid w:val="00B364A4"/>
    <w:rsid w:val="00B40750"/>
    <w:rsid w:val="00B41527"/>
    <w:rsid w:val="00B444A8"/>
    <w:rsid w:val="00B45CD4"/>
    <w:rsid w:val="00B45ECE"/>
    <w:rsid w:val="00B505D4"/>
    <w:rsid w:val="00B513C4"/>
    <w:rsid w:val="00B53CC1"/>
    <w:rsid w:val="00B605D6"/>
    <w:rsid w:val="00B61B3E"/>
    <w:rsid w:val="00B629AB"/>
    <w:rsid w:val="00B62BD8"/>
    <w:rsid w:val="00B63E4F"/>
    <w:rsid w:val="00B65957"/>
    <w:rsid w:val="00B67121"/>
    <w:rsid w:val="00B67178"/>
    <w:rsid w:val="00B67E1B"/>
    <w:rsid w:val="00B704D7"/>
    <w:rsid w:val="00B7218C"/>
    <w:rsid w:val="00B7426C"/>
    <w:rsid w:val="00B74976"/>
    <w:rsid w:val="00B74FA6"/>
    <w:rsid w:val="00B75B05"/>
    <w:rsid w:val="00B75C5A"/>
    <w:rsid w:val="00B771F2"/>
    <w:rsid w:val="00B82AD2"/>
    <w:rsid w:val="00B82B7E"/>
    <w:rsid w:val="00B83BAE"/>
    <w:rsid w:val="00B943A5"/>
    <w:rsid w:val="00B96D0B"/>
    <w:rsid w:val="00BA0987"/>
    <w:rsid w:val="00BA28B6"/>
    <w:rsid w:val="00BA483C"/>
    <w:rsid w:val="00BA553A"/>
    <w:rsid w:val="00BA5AB5"/>
    <w:rsid w:val="00BB3A1B"/>
    <w:rsid w:val="00BB3CFA"/>
    <w:rsid w:val="00BB490A"/>
    <w:rsid w:val="00BB491C"/>
    <w:rsid w:val="00BB634F"/>
    <w:rsid w:val="00BB75F6"/>
    <w:rsid w:val="00BC412A"/>
    <w:rsid w:val="00BC50F6"/>
    <w:rsid w:val="00BC7857"/>
    <w:rsid w:val="00BE3B4C"/>
    <w:rsid w:val="00BE70B1"/>
    <w:rsid w:val="00BE70C5"/>
    <w:rsid w:val="00BE7749"/>
    <w:rsid w:val="00BF060F"/>
    <w:rsid w:val="00BF07D3"/>
    <w:rsid w:val="00BF0872"/>
    <w:rsid w:val="00BF08C8"/>
    <w:rsid w:val="00BF0C88"/>
    <w:rsid w:val="00BF6ECC"/>
    <w:rsid w:val="00BF7CE0"/>
    <w:rsid w:val="00C01B93"/>
    <w:rsid w:val="00C05B60"/>
    <w:rsid w:val="00C06B9C"/>
    <w:rsid w:val="00C119D8"/>
    <w:rsid w:val="00C135AE"/>
    <w:rsid w:val="00C150E3"/>
    <w:rsid w:val="00C27A32"/>
    <w:rsid w:val="00C32BC3"/>
    <w:rsid w:val="00C3465E"/>
    <w:rsid w:val="00C3610B"/>
    <w:rsid w:val="00C4103A"/>
    <w:rsid w:val="00C42C4B"/>
    <w:rsid w:val="00C441F6"/>
    <w:rsid w:val="00C4478C"/>
    <w:rsid w:val="00C4655B"/>
    <w:rsid w:val="00C47450"/>
    <w:rsid w:val="00C50ADC"/>
    <w:rsid w:val="00C51CC8"/>
    <w:rsid w:val="00C54B7A"/>
    <w:rsid w:val="00C54C25"/>
    <w:rsid w:val="00C57ADB"/>
    <w:rsid w:val="00C600B0"/>
    <w:rsid w:val="00C60B8F"/>
    <w:rsid w:val="00C61FD9"/>
    <w:rsid w:val="00C620B1"/>
    <w:rsid w:val="00C63B66"/>
    <w:rsid w:val="00C67167"/>
    <w:rsid w:val="00C70611"/>
    <w:rsid w:val="00C7380A"/>
    <w:rsid w:val="00C74D9B"/>
    <w:rsid w:val="00C77257"/>
    <w:rsid w:val="00C7794A"/>
    <w:rsid w:val="00C82637"/>
    <w:rsid w:val="00C8292F"/>
    <w:rsid w:val="00C87D5F"/>
    <w:rsid w:val="00C920C4"/>
    <w:rsid w:val="00C956B5"/>
    <w:rsid w:val="00C96139"/>
    <w:rsid w:val="00C963E5"/>
    <w:rsid w:val="00CA1FAC"/>
    <w:rsid w:val="00CA262B"/>
    <w:rsid w:val="00CA2E40"/>
    <w:rsid w:val="00CA2F93"/>
    <w:rsid w:val="00CA6ABC"/>
    <w:rsid w:val="00CA74CC"/>
    <w:rsid w:val="00CA7AF2"/>
    <w:rsid w:val="00CB0D08"/>
    <w:rsid w:val="00CB18C6"/>
    <w:rsid w:val="00CB1BCD"/>
    <w:rsid w:val="00CB2757"/>
    <w:rsid w:val="00CB4232"/>
    <w:rsid w:val="00CC0E16"/>
    <w:rsid w:val="00CC4494"/>
    <w:rsid w:val="00CC4B65"/>
    <w:rsid w:val="00CD148A"/>
    <w:rsid w:val="00CD1F84"/>
    <w:rsid w:val="00CD2CBE"/>
    <w:rsid w:val="00CD41E9"/>
    <w:rsid w:val="00CD4C38"/>
    <w:rsid w:val="00CE01D9"/>
    <w:rsid w:val="00CE089C"/>
    <w:rsid w:val="00CE6796"/>
    <w:rsid w:val="00CE7A5D"/>
    <w:rsid w:val="00CF1325"/>
    <w:rsid w:val="00CF2FE7"/>
    <w:rsid w:val="00CF6E4C"/>
    <w:rsid w:val="00CF78B3"/>
    <w:rsid w:val="00CF7AE1"/>
    <w:rsid w:val="00CF7C41"/>
    <w:rsid w:val="00D01C27"/>
    <w:rsid w:val="00D02AFA"/>
    <w:rsid w:val="00D06BEE"/>
    <w:rsid w:val="00D1191E"/>
    <w:rsid w:val="00D12D4B"/>
    <w:rsid w:val="00D14CF5"/>
    <w:rsid w:val="00D14D06"/>
    <w:rsid w:val="00D1528F"/>
    <w:rsid w:val="00D16D25"/>
    <w:rsid w:val="00D17AC8"/>
    <w:rsid w:val="00D222D4"/>
    <w:rsid w:val="00D229F3"/>
    <w:rsid w:val="00D34B28"/>
    <w:rsid w:val="00D34E0F"/>
    <w:rsid w:val="00D40E8B"/>
    <w:rsid w:val="00D41D29"/>
    <w:rsid w:val="00D44B38"/>
    <w:rsid w:val="00D503BE"/>
    <w:rsid w:val="00D50A6E"/>
    <w:rsid w:val="00D51ED3"/>
    <w:rsid w:val="00D550E6"/>
    <w:rsid w:val="00D55DD2"/>
    <w:rsid w:val="00D6031D"/>
    <w:rsid w:val="00D604FD"/>
    <w:rsid w:val="00D61A29"/>
    <w:rsid w:val="00D626E1"/>
    <w:rsid w:val="00D6410A"/>
    <w:rsid w:val="00D64207"/>
    <w:rsid w:val="00D6490A"/>
    <w:rsid w:val="00D64F55"/>
    <w:rsid w:val="00D657D8"/>
    <w:rsid w:val="00D7443E"/>
    <w:rsid w:val="00D76307"/>
    <w:rsid w:val="00D80139"/>
    <w:rsid w:val="00D81FB3"/>
    <w:rsid w:val="00D83D2E"/>
    <w:rsid w:val="00D85723"/>
    <w:rsid w:val="00D86297"/>
    <w:rsid w:val="00D87B78"/>
    <w:rsid w:val="00D91D20"/>
    <w:rsid w:val="00D94774"/>
    <w:rsid w:val="00D95BC9"/>
    <w:rsid w:val="00D96091"/>
    <w:rsid w:val="00DA006C"/>
    <w:rsid w:val="00DA1A15"/>
    <w:rsid w:val="00DA2B6F"/>
    <w:rsid w:val="00DA2BCB"/>
    <w:rsid w:val="00DA5285"/>
    <w:rsid w:val="00DA5452"/>
    <w:rsid w:val="00DA7C0F"/>
    <w:rsid w:val="00DA7D68"/>
    <w:rsid w:val="00DB0CB9"/>
    <w:rsid w:val="00DB1121"/>
    <w:rsid w:val="00DB1996"/>
    <w:rsid w:val="00DB2BDB"/>
    <w:rsid w:val="00DB41D7"/>
    <w:rsid w:val="00DB7AA4"/>
    <w:rsid w:val="00DC002A"/>
    <w:rsid w:val="00DC552B"/>
    <w:rsid w:val="00DC55F9"/>
    <w:rsid w:val="00DC7920"/>
    <w:rsid w:val="00DD3EC7"/>
    <w:rsid w:val="00DD573F"/>
    <w:rsid w:val="00DE19E0"/>
    <w:rsid w:val="00DE4CFD"/>
    <w:rsid w:val="00DE5A90"/>
    <w:rsid w:val="00DF05DA"/>
    <w:rsid w:val="00DF5C55"/>
    <w:rsid w:val="00E019AF"/>
    <w:rsid w:val="00E02094"/>
    <w:rsid w:val="00E02E1A"/>
    <w:rsid w:val="00E04149"/>
    <w:rsid w:val="00E04BFC"/>
    <w:rsid w:val="00E0558A"/>
    <w:rsid w:val="00E05774"/>
    <w:rsid w:val="00E07472"/>
    <w:rsid w:val="00E077C8"/>
    <w:rsid w:val="00E079C0"/>
    <w:rsid w:val="00E128B2"/>
    <w:rsid w:val="00E13065"/>
    <w:rsid w:val="00E16C3B"/>
    <w:rsid w:val="00E16CB8"/>
    <w:rsid w:val="00E17C8F"/>
    <w:rsid w:val="00E17D55"/>
    <w:rsid w:val="00E17D89"/>
    <w:rsid w:val="00E21B4B"/>
    <w:rsid w:val="00E224D6"/>
    <w:rsid w:val="00E233DA"/>
    <w:rsid w:val="00E23548"/>
    <w:rsid w:val="00E24175"/>
    <w:rsid w:val="00E24B60"/>
    <w:rsid w:val="00E2694D"/>
    <w:rsid w:val="00E26F0C"/>
    <w:rsid w:val="00E2788D"/>
    <w:rsid w:val="00E27EAD"/>
    <w:rsid w:val="00E34879"/>
    <w:rsid w:val="00E37C90"/>
    <w:rsid w:val="00E41ADC"/>
    <w:rsid w:val="00E42CC5"/>
    <w:rsid w:val="00E442D9"/>
    <w:rsid w:val="00E449AE"/>
    <w:rsid w:val="00E513A2"/>
    <w:rsid w:val="00E53254"/>
    <w:rsid w:val="00E61911"/>
    <w:rsid w:val="00E637AE"/>
    <w:rsid w:val="00E706B2"/>
    <w:rsid w:val="00E73DEE"/>
    <w:rsid w:val="00E74135"/>
    <w:rsid w:val="00E83C89"/>
    <w:rsid w:val="00E86D5A"/>
    <w:rsid w:val="00E92989"/>
    <w:rsid w:val="00E93F1D"/>
    <w:rsid w:val="00E9574D"/>
    <w:rsid w:val="00E959E7"/>
    <w:rsid w:val="00EA05D0"/>
    <w:rsid w:val="00EA2006"/>
    <w:rsid w:val="00EA276A"/>
    <w:rsid w:val="00EA30E9"/>
    <w:rsid w:val="00EA4ED6"/>
    <w:rsid w:val="00EA5655"/>
    <w:rsid w:val="00EA722A"/>
    <w:rsid w:val="00EA7F0F"/>
    <w:rsid w:val="00EB0EE6"/>
    <w:rsid w:val="00EB208C"/>
    <w:rsid w:val="00EB7A84"/>
    <w:rsid w:val="00EC2CC8"/>
    <w:rsid w:val="00EC4774"/>
    <w:rsid w:val="00EC6590"/>
    <w:rsid w:val="00ED224C"/>
    <w:rsid w:val="00ED491B"/>
    <w:rsid w:val="00EE02DF"/>
    <w:rsid w:val="00EE1018"/>
    <w:rsid w:val="00EE7C26"/>
    <w:rsid w:val="00EF093E"/>
    <w:rsid w:val="00EF6D6C"/>
    <w:rsid w:val="00F041D0"/>
    <w:rsid w:val="00F11F25"/>
    <w:rsid w:val="00F13F77"/>
    <w:rsid w:val="00F216B9"/>
    <w:rsid w:val="00F23D4B"/>
    <w:rsid w:val="00F243FA"/>
    <w:rsid w:val="00F26B42"/>
    <w:rsid w:val="00F307BD"/>
    <w:rsid w:val="00F30F28"/>
    <w:rsid w:val="00F35415"/>
    <w:rsid w:val="00F42FE8"/>
    <w:rsid w:val="00F44C50"/>
    <w:rsid w:val="00F53EA5"/>
    <w:rsid w:val="00F546CC"/>
    <w:rsid w:val="00F60249"/>
    <w:rsid w:val="00F636CA"/>
    <w:rsid w:val="00F63DCD"/>
    <w:rsid w:val="00F658DE"/>
    <w:rsid w:val="00F710C7"/>
    <w:rsid w:val="00F71669"/>
    <w:rsid w:val="00F71744"/>
    <w:rsid w:val="00F7582A"/>
    <w:rsid w:val="00F75C8B"/>
    <w:rsid w:val="00F769C0"/>
    <w:rsid w:val="00F77864"/>
    <w:rsid w:val="00F811FA"/>
    <w:rsid w:val="00F841F8"/>
    <w:rsid w:val="00F8459F"/>
    <w:rsid w:val="00F86448"/>
    <w:rsid w:val="00F864B5"/>
    <w:rsid w:val="00F90849"/>
    <w:rsid w:val="00F92BF0"/>
    <w:rsid w:val="00F930DC"/>
    <w:rsid w:val="00F94C67"/>
    <w:rsid w:val="00F95815"/>
    <w:rsid w:val="00FA0748"/>
    <w:rsid w:val="00FA18B3"/>
    <w:rsid w:val="00FA3B4F"/>
    <w:rsid w:val="00FA4785"/>
    <w:rsid w:val="00FA48A2"/>
    <w:rsid w:val="00FB1659"/>
    <w:rsid w:val="00FB6640"/>
    <w:rsid w:val="00FB6C44"/>
    <w:rsid w:val="00FB6DE5"/>
    <w:rsid w:val="00FC0732"/>
    <w:rsid w:val="00FC0D45"/>
    <w:rsid w:val="00FC7CD3"/>
    <w:rsid w:val="00FD21B2"/>
    <w:rsid w:val="00FD2733"/>
    <w:rsid w:val="00FD2BF6"/>
    <w:rsid w:val="00FD32B0"/>
    <w:rsid w:val="00FD7A89"/>
    <w:rsid w:val="00FE1D49"/>
    <w:rsid w:val="00FE217F"/>
    <w:rsid w:val="00FE2396"/>
    <w:rsid w:val="00FE3A48"/>
    <w:rsid w:val="00FE3E3E"/>
    <w:rsid w:val="00FE53E5"/>
    <w:rsid w:val="00FE639C"/>
    <w:rsid w:val="00FF211B"/>
    <w:rsid w:val="00FF4039"/>
    <w:rsid w:val="00FF42F4"/>
    <w:rsid w:val="00FF48AD"/>
    <w:rsid w:val="00FF4ABF"/>
    <w:rsid w:val="76F78222"/>
    <w:rsid w:val="77176E0F"/>
    <w:rsid w:val="77AFE1B9"/>
    <w:rsid w:val="7EFFFCE8"/>
    <w:rsid w:val="7FDD959B"/>
    <w:rsid w:val="BF2F159B"/>
    <w:rsid w:val="F4BB9B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szCs w:val="24"/>
    </w:rPr>
  </w:style>
  <w:style w:type="character" w:styleId="8">
    <w:name w:val="Strong"/>
    <w:basedOn w:val="7"/>
    <w:qFormat/>
    <w:uiPriority w:val="0"/>
    <w:rPr>
      <w:b/>
    </w:rPr>
  </w:style>
  <w:style w:type="character" w:customStyle="1" w:styleId="9">
    <w:name w:val="页眉 Char"/>
    <w:basedOn w:val="7"/>
    <w:link w:val="4"/>
    <w:semiHidden/>
    <w:qFormat/>
    <w:uiPriority w:val="99"/>
    <w:rPr>
      <w:sz w:val="18"/>
      <w:szCs w:val="18"/>
    </w:rPr>
  </w:style>
  <w:style w:type="character" w:customStyle="1" w:styleId="10">
    <w:name w:val="页脚 Char"/>
    <w:basedOn w:val="7"/>
    <w:link w:val="3"/>
    <w:qFormat/>
    <w:uiPriority w:val="99"/>
    <w:rPr>
      <w:sz w:val="18"/>
      <w:szCs w:val="18"/>
    </w:rPr>
  </w:style>
  <w:style w:type="character" w:customStyle="1" w:styleId="11">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12</Pages>
  <Words>6770</Words>
  <Characters>7154</Characters>
  <Lines>50</Lines>
  <Paragraphs>14</Paragraphs>
  <TotalTime>1</TotalTime>
  <ScaleCrop>false</ScaleCrop>
  <LinksUpToDate>false</LinksUpToDate>
  <CharactersWithSpaces>7158</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2021-10-20T11:57:00Z</dcterms:created>
  <dc:creator>陈映珠</dc:creator>
  <cp:lastModifiedBy>byqjcy</cp:lastModifiedBy>
  <cp:lastPrinted>2021-10-20T14:15:00Z</cp:lastPrinted>
  <dcterms:modified xsi:type="dcterms:W3CDTF">2022-03-15T10:01:36Z</dcterms:modified>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